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兴银理财ESG悦动7号净值型理财产品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兴银理财ESG悦动7号净值型理财产品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Z7002022000038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637,869,320.29份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3.60%--5.00%/业绩比较基准上限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568,013,110.36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兴银ESG悦动7号B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69,856,209.93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产品9K22016A自成立日以来，累计净值增长率为1.7080%，年化累计净值增长率为4.8705%。</w:t>
              <w:br/>
              <w:t xml:space="preserve">产品9K22016B自成立日以来，累计净值增长率为1.7230%，年化累计净值增长率为4.9132%。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648,776,868.81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577,716,691.01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71,060,177.80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回顾。宏观层面，2022年一季度，市场最重要的两个非线性变化，即俄乌冲突带来的全球通胀升温、中国加强疫情管控带来的经济衰退和供应链紊乱，而以上两个因素都使得全球经济维持滞涨的时间会增加、因而带来的民粹势力进一步激化、政策更加激进。二季度，市场经历了疫情修复以及俄乌冲突后的能源危机，以及在此影响下中国基本面的拐点向上和欧美深陷通胀沼泥下的拐点向下。从市场层面看，商品从维持高位震荡到二季度逐步回落，相比去年，基础化石能源的价格至少上涨一倍，而我国由于能源供给相对独立，加之国家对于煤炭价格、电力价格的控制手段，我国作为全球供应链的制造环节，尽管中高端利润会大幅压缩，但全球供应链地位、贸易地位仍然较为稳固，反映在权益市场上，A股相对其他发展经济体走出独立行业，经历了1-4月份的大幅调整后，市场迅速反弹，以创业板为例，本轮下跌40%，反弹至今上涨33%。债券市场则多空因素交织，整体表现出窄幅震荡格局。</w:t>
              <w:br/>
              <w:t xml:space="preserve">    二、市场展望。</w:t>
              <w:br/>
              <w:t xml:space="preserve">    展望后市，2022年从经济增速的角度，全年应该是相对困难的一年，整体呈现基本面差、政策进的状态。投资方面，地产销售大幅下滑且复苏缓慢，真正看到数据企稳，最快也要三季度中后期，甚至是四季度。消费方面，受本轮奥密克戎传播速度快、隐蔽性强的特点，国内重点城市深圳、上海前后发生疫情并封城，实际经济活动程度大幅降低，消费品以及消费服务的恢复重新蒙上阴影，且本轮疫情防控地方层层加强，为严格执行中央政策，部分中</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小城市在有个例的情况下，果断选择大幅降低经济活动，以达到迅速控制疫情的效果，结果上看，本轮经济、商业活动影响面广、影响程度深，中小企业感受由为明显，进而对可支配收入以及居民消费信心冲击较大，后期促消费政策以及疫情政策逐步调整可能都会看到，但疫情政策的转变才能带来消费增速的真正回归。出口方面，一是由于海外疫情政策放松，供应链逐步修复；二是国内疫情政策趋严，供应链存在阶段性冲击，2022年整体看出口高速增长的势头存在减缓的可能。通胀方面，随着国际能源价格的不断上升，中国很难独善其身，PPI可能出现环比上升的态势，CPI在下半年压力会增加。上述复杂的宏观环境，债券市场，今年宽信用宽货币的整体方向短期难以改变，所有财政策略、产业政策均需货币政策的有利配合，债券震荡市的格局尚未打破，节奏上，待市场逐步消化经济反弹后，可能存在博弈反弹不及预期的机会，到时择机加仓；权益市场，年初以来的大幅震荡，股票分化较大，大盘成长处于历史估值的较贵区间，而价值、中小盘仍处于盘整区间，市场的反转需要时间或空间来消化，在当前的市场中，我们应选择竞争力较强的行业和公司进行布局，待市场休整完毕后，竞争格局好、增长潜力大的公司必然会逐步显现并增长。</w:t>
              <w:br/>
              <w:t xml:space="preserve">    三、组合策略。</w:t>
              <w:br/>
              <w:t xml:space="preserve">    悦动7号目前维持久期1.0-2.0年；衍生品套利策略不高于5%的比例，由于近期商品市场套利头寸有所收益，带来组合存在一定的波动，后续将维持债券久期至中性，并择机博弈市场机会。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40,423,673.18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20淮安交通MTN002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35,500,500.00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21绿城房产MTN002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35,037,030.00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32,047,136.00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30,437,010.00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22美的置业MTN001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24,976,775.00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20,419,240.00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21宜兴环保MTN002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20,294,620.00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21兴华生态MTN002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20,274,960.00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21两山01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20,264,900.00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22天津医药SCP001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051010100101348490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