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231,670,556.27份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4.00%--4.60%/4.60%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产品9K220901自成立日以来，累计净值增长率为7.7420%，年化累计净值增长率为4.3811%。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1.03559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1.07742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239,916,718.12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19重庆交投MTN002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15,510,225.00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10,306,110.00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18张家公资MTN001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10,150,730.00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21国能江苏MTN001(碳中和债）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