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兴银理财兴合添汇2号混合类净值型理财产品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6,597,819,747.00份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产品9K221004自成立日以来，累计净值增长率为-2.8530%，年化累计净值增长率为-3.6033%。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0.97147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0.97147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6,409,566,828.27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下半年，在内外部不确定性因素影响下，中国下半年市场潜在的挑战包括国内经济修复的节奏，以及海外政策紧缩对中国外需以及资产估值带来压制，等等。但是随着消费和投资需求的改善，我国经济也将会逐渐从下行期走向复苏期，而全球则从滞涨期逐渐进入衰退期，美债收益率见顶在望。预计下半年A股有望呈现震荡上行的走势，全年走出先跌后涨的概率进一步提升。当前流动性十分充裕，对A股估值产生正面支撑，体现为流动性驱动的特征。后续随着稳增长政策进一步落地，基建和制造业的融资需求边际回暖，地产销量亦边际改善，新增社融增速有望震荡走高，体现为社融驱动的特征。</w:t>
              <w:br/>
              <w:t xml:space="preserve">    风格行业配置：根据A股所处的阶段，下半年将会演绎从流动性驱动到社融驱动的特征，对应的将会演绎从小盘成长到大盘价值的风格演变；行业配置主线沿着“泛新能源”和“社融驱动”两个方向布局。中长期社融大幅改善之前，新产业趋势相关领域有更好的表现，社融改善后，基建投资企稳，地产加持后社融方能放量，则需要关注白酒和地产链消费，以及大金融板块。</w:t>
              <w:br/>
              <w:t xml:space="preserve">    投资组合上关注两大方向：一是稳增长，重点关注新开工和施工提速受益板块如化工、有色等传统基建开工施工以及光伏、风电、储能等新基建；二是疫后经济活动恢复，复苏链和地产链相关行业公司等方向。</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6,069,810,835.07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349,979,362.89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051010100101264918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兴银理财兴合添汇混合类2号净值型理财产品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