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622,105,114.85份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483,884,797.24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灵动陆陆通1号B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138,220,317.61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产品9K212152自成立日以来，累计净值增长率为5.1670%，年化累计净值增长率为3.0567%。</w:t>
              <w:br/>
              <w:t xml:space="preserve">产品9K212252自成立日以来，累计净值增长率为5.3210%，年化累计净值增长率为3.1478%。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654,462,738.81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508,887,507.89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145,575,230.92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2022年上半年，各类极端事件出现打破了大部分的预期 ，资产价格剧烈波动，投资难度较大，国内流动性可能维持宽松但是海外已经收紧，至少边际上是变弱的，边际变化来看对资产价格绝对表现不是太有利。权益市场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w:t>
              <w:br/>
              <w:t xml:space="preserve">    展望下半年，市场目前依旧处于高度的不确定性中，但是资产价格表现已经开始出现钝化，预期价格修复是大概率事件。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大宗商品行情正式进入下半场，波动率下行，暴涨暴跌行情结束，后续也是结构化行情，价格驱动下游品种会强于上游，产业链利润会有所修复。所以虽然整体商品价格上对通胀预期的压力大大降低，但是要警惕压力从上游端向下游端的传导（PPI至CPI）。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200,579,478.47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150,594,490.09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49,995,450.00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30,592,980.00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20北城01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21鄞城01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21江阴公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19,964,129.98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14,094,626.00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051010100101097621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