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兴银理财增盈优选28号净值型理财产品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607,985,268.6份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5.60%/业绩比较基准上限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607,985,268.60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产品9K221128自成立日以来，累计净值增长率为2.0140%，年化累计净值增长率为6.9350%。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620,233,130.06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620,233,130.06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整体表现都超出了年初市场参与各方的判断，各类极端事件如俄乌战争、美联储加息、商品大通胀、日元崩盘、国内疫情不断爆发。权益市场在估值高位快速下跌，市场人气涣散悲观预期浓郁，指数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本报告期内，本组合积极调整债券持仓，利用利率衍生品对冲久期风险，对权益资产在低位进行增配并积极调整行业结构。本组合净值在本报告期内相对表现较好。</w:t>
              <w:br/>
              <w:t xml:space="preserve">    展望下半年，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180,208,080.00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22如东东泰01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110,121,000.00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62,663,813.82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50,431,333.66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30,296,564.24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21,102,185.81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20,416,980.00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20,406,940.00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20,294,480.00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20武侯产业MTN001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20,181,720.00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22如东东泰01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