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6,132,263.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0.3290%，年化累计净值增长率为0.64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0,133,581.7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370,01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