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兴银理财兴承恒享稳盈两年定期开放1号固收类理财产品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兴银理财兴承恒享稳盈两年定期开放1号固收类理财产品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288,890,253.16份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个人定期(整存整取)一年+3.30%/4.80%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288,890,253.16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产品9K51041A自成立日以来，累计净值增长率为2.3490%，年化累计净值增长率为8.0129%。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295,676,948.49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295,676,948.49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兴银基金-兴运27号集合资产管理计划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30,249,486.36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20平顶发展MTN001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20,766,860.00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20,652,220.00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20,515,240.00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22眉山发展PPN001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20,256,780.00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20,134,020.00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20,073,580.00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051010100101378344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兴银理财兴承恒享稳盈两年定期开放1号固收类理财产品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