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兴银理财天天万利宝稳利8号M款净值型理财产品</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兴银理财天天万利宝稳利8号M款净值型理财产品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9K209630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787,470,000份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3.75%--4.25%/4.25%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稳利恒盈8号M款 6个月B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787,470,000.00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产品9K20963B自成立日以来，累计净值增长率为2.0140%，年化累计净值增长率为3.9952%。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787,562,892.66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787,562,892.66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3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r>
            <w:r>
              <w:rPr>
                <w:rFonts w:ascii="宋体" w:hAnsi="宋体" w:eastAsia="宋体" w:cs="宋体"/>
                <w:color w:val="000000"/>
                <w:sz w:val="21"/>
              </w:rPr>
              <w:br w:type="textWrapping"/>
            </w:r>
            <w:r>
              <w:rPr>
                <w:rFonts w:ascii="宋体" w:hAnsi="宋体" w:eastAsia="宋体" w:cs="宋体"/>
                <w:color w:val="000000"/>
                <w:sz w:val="21"/>
              </w:rP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r>
            <w:r>
              <w:rPr>
                <w:rFonts w:ascii="宋体" w:hAnsi="宋体" w:eastAsia="宋体" w:cs="宋体"/>
                <w:color w:val="000000"/>
                <w:sz w:val="21"/>
              </w:rPr>
              <w:br w:type="textWrapping"/>
            </w:r>
            <w:r>
              <w:rPr>
                <w:rFonts w:ascii="宋体" w:hAnsi="宋体" w:eastAsia="宋体" w:cs="宋体"/>
                <w:color w:val="000000"/>
                <w:sz w:val="21"/>
              </w:rP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r>
            <w:r>
              <w:rPr>
                <w:rFonts w:ascii="宋体" w:hAnsi="宋体" w:eastAsia="宋体" w:cs="宋体"/>
                <w:color w:val="000000"/>
                <w:sz w:val="21"/>
              </w:rPr>
              <w:br w:type="textWrapping"/>
            </w:r>
            <w:r>
              <w:rPr>
                <w:rFonts w:ascii="宋体" w:hAnsi="宋体" w:eastAsia="宋体" w:cs="宋体"/>
                <w:color w:val="000000"/>
                <w:sz w:val="21"/>
              </w:rPr>
              <w:t xml:space="preserve">    6月以来，受制于上海解封、疫后复苏、权益市场连续走强等诸多因素影响，债券收益率震荡上行。</w:t>
            </w:r>
            <w:r>
              <w:rPr>
                <w:rFonts w:ascii="宋体" w:hAnsi="宋体" w:eastAsia="宋体" w:cs="宋体"/>
                <w:color w:val="000000"/>
                <w:sz w:val="21"/>
              </w:rPr>
              <w:br w:type="textWrapping"/>
            </w:r>
            <w:r>
              <w:rPr>
                <w:rFonts w:ascii="宋体" w:hAnsi="宋体" w:eastAsia="宋体" w:cs="宋体"/>
                <w:color w:val="000000"/>
                <w:sz w:val="21"/>
              </w:rPr>
              <w:t xml:space="preserve">    产品运作：年初到1月底资金面宽松带动收益率下行，专户产品采取提升久期、适度加杠杆的积极策略，票息</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兴银理财天天万利宝稳利8号M款净值型理财产品2022年半年度报告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打</w:t>
            </w:r>
            <w:bookmarkStart w:id="7" w:name="_GoBack"/>
            <w:bookmarkEnd w:id="7"/>
            <w:r>
              <w:rPr>
                <w:rFonts w:ascii="宋体" w:hAnsi="宋体" w:eastAsia="宋体" w:cs="宋体"/>
                <w:color w:val="000000"/>
                <w:sz w:val="21"/>
              </w:rPr>
              <w:t>底的同时获取资本利得，产品业绩表现较为优异。2月市场回调后，及时止盈卖出利差压缩到极致的品种，降低产品实际久期，并果断降低组合仓位，同时增配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6月以来，我们适度防守，采用中性久期、中性杠杆之下的票息策略，通过止盈部分信用债，增配货币类资产，以及构建超短+超长的哑铃型组合来降低组合波动。</w:t>
            </w:r>
            <w:r>
              <w:rPr>
                <w:rFonts w:ascii="宋体" w:hAnsi="宋体" w:eastAsia="宋体" w:cs="宋体"/>
                <w:color w:val="000000"/>
                <w:sz w:val="21"/>
              </w:rPr>
              <w:br w:type="textWrapping"/>
            </w:r>
            <w:r>
              <w:rPr>
                <w:rFonts w:ascii="宋体" w:hAnsi="宋体" w:eastAsia="宋体" w:cs="宋体"/>
                <w:color w:val="000000"/>
                <w:sz w:val="21"/>
              </w:rPr>
              <w:t xml:space="preserve">    下半年展望：</w:t>
            </w:r>
            <w:r>
              <w:rPr>
                <w:rFonts w:ascii="宋体" w:hAnsi="宋体" w:eastAsia="宋体" w:cs="宋体"/>
                <w:color w:val="000000"/>
                <w:sz w:val="21"/>
              </w:rPr>
              <w:br w:type="textWrapping"/>
            </w:r>
            <w:r>
              <w:rPr>
                <w:rFonts w:ascii="宋体" w:hAnsi="宋体" w:eastAsia="宋体" w:cs="宋体"/>
                <w:color w:val="000000"/>
                <w:sz w:val="21"/>
              </w:rP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二、2022年下半年投资策略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2、关注货币政策边际变化带来的公募基金赎回压力带来的信用债配置机会。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ascii="宋体" w:hAnsi="宋体" w:eastAsia="宋体" w:cs="宋体"/>
                <w:color w:val="000000"/>
                <w:sz w:val="21"/>
              </w:rPr>
              <w:t xml:space="preserve">    5、根据市场变化分步建仓，根据收益率曲线形态做波段交易。</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5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139,932,269.97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69,992,930.00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69,992,860.00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69,992,440.00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69,992,160.00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40,098,560.00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21豫园商城MTN004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39,934,200.00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21CSFD197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29,997,060.00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20柯桥建投MTN002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20,550,680.00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正回购金额</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051010100101322768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兴银理财天天万利宝稳利8号M款净值型理财产品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tcPr>
            <w:gridSpan w:val="4"/>
          </w:tcPr>
          <w:p>
            <w:pPr>
              <w:pStyle w:val="4"/>
            </w:pPr>
          </w:p>
        </w:tc>
        <w:tc>
          <w:p>
            <w:pPr>
              <w:pStyle w:val="4"/>
            </w:pPr>
          </w:p>
        </w:tc>
      </w:tr>
      <w:tr>
        <w:tblPrEx>
          <w:tblCellMar>
            <w:top w:w="0" w:type="dxa"/>
            <w:left w:w="10" w:type="dxa"/>
            <w:bottom w:w="0" w:type="dxa"/>
            <w:right w:w="10" w:type="dxa"/>
          </w:tblCellMar>
        </w:tblPrEx>
        <w:trPr>
          <w:trHeight w:val="37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048E7B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3629</Words>
  <Characters>4189</Characters>
  <TotalTime>0</TotalTime>
  <ScaleCrop>false</ScaleCrop>
  <LinksUpToDate>false</LinksUpToDate>
  <CharactersWithSpaces>4367</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2022-09-16T05:19:00Z</dcterms:created>
  <dc:creator>lzy</dc:creator>
  <cp:lastModifiedBy>lzy</cp:lastModifiedBy>
  <dcterms:modified xsi:type="dcterms:W3CDTF">2022-09-16T05:19:11Z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0278593752374E34963DD052B6E197DB</vt:lpwstr>
  </property>
</Properties>
</file>