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11,242,893,909.23份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11,207,370,525.67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23,228,083.34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12,295,300.22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产品9K91041A自成立日以来，累计净值增长率为1.1680%，年化累计净值增长率为3.5825%。</w:t>
              <w:br/>
              <w:t xml:space="preserve">产品9K91041B自成立日以来，累计净值增长率为0.9830%，年化累计净值增长率为3.5524%。</w:t>
              <w:br/>
              <w:t xml:space="preserve">产品9K91041C自成立日以来，累计净值增长率为0.7140%，年化累计净值增长率为3.3412%。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11,374,120,106.43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11,338,280,605.35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23,456,376.11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12,383,124.97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2,205,815,499.21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1,402,252,366.82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539,950,320.00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21南安市贸SCP002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21潍坊城建SCP003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22云建投SCP007(科创票据)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