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兴银理财天天万利宝稳利恒盈7号C款净值型理财产品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1,531,556,499.16份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稳利恒盈7号C款 2年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1,531,556,499.16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产品9N21212A自成立日以来，累计净值增长率为6.2720%，年化累计净值增长率为5.0204%。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1,627,621,854.80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1,627,621,854.80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5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21鲁青岛城投ZR002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751,393,500.00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99,965,505.34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60,935,689.64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55,050,674.26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53,262,550.00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50,784,992.36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易方达瑞弘A ( 003882.OF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31,175,398.37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19湖北文旅MTN001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30,793,080.00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东方红策略精选A（001405.OF）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30,633,167.43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21绵控01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30,468,240.00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20黔铁投MTN001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21鲁青岛城投ZR002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