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兴银理财天天万利宝稳利恒盈7号封闭式净值型理财产品第8期</w:t>
              <w:br/>
              <w:t xml:space="preserve">2022年半年度报告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报告送出日期：2022年9月21日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理财托管机构报告</w:t>
              <w:br/>
              <w:t xml:space="preserve">§ 七.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兴银理财天天万利宝稳利恒盈7号封闭式净值型理财产品第8期2022年半年度报告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兴银理财天天万利宝稳利恒盈7号封闭式净值型理财产品第8期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9N213080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Z7002021000082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2,369,514,838.31份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4.90%--5.40%/5.40%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4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稳利恒盈7号8期 3年A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9N21308A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401,806,379.79</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稳利恒盈7号8期 3年B</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9N21308B</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1,915,810,000.00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稳利恒盈7号8期 3年C</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9N21308C</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45,026,370.87</w:t>
                        </w:r>
                      </w:p>
                    </w:tc>
                  </w:tr>
                </w:tbl>
                <w:p>
                  <w:pPr>
                    <w:pStyle w:val="EMPTY_CELL_STYLE"/>
                  </w:pPr>
                </w:p>
              </w:tc>
            </w:tr>
          </w:tbl>
          <w:p>
            <w:pPr>
              <w:pStyle w:val="EMPTY_CELL_STYLE"/>
            </w:pPr>
          </w:p>
        </w:tc>
        <w:tc>
          <w:tcPr>
     </w:tcPr>
          <w:p>
            <w:pPr>
              <w:pStyle w:val="EMPTY_CELL_STYLE"/>
            </w:pPr>
          </w:p>
        </w:tc>
      </w:tr>
      <w:tr>
        <w:trPr>
          <w:trHeight w:hRule="exact" w:val="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2840"/>
        <w:gridCol w:w="460"/>
        <w:gridCol w:w="4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下属子份额的销售名称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下属子份额的销售代码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报告期末下属子份额的产品份额总数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稳利恒盈7号8期 3年D</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9N21308D</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6,872,087.65</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产品9N21308A自成立日以来，累计净值增长率为2.2250%，年化累计净值增长率为5.2395%。</w:t>
              <w:br/>
              <w:t xml:space="preserve">产品9N21308B自成立日以来，累计净值增长率为2.2690%，年化累计净值增长率为5.3431%。</w:t>
              <w:br/>
              <w:t xml:space="preserve">产品9N21308C自成立日以来，累计净值增长率为2.1820%，年化累计净值增长率为5.1383%。</w:t>
              <w:br/>
              <w:t xml:space="preserve">产品9N21308D自成立日以来，累计净值增长率为2.1390%，年化累计净值增长率为5.0370%。</w:t>
              <w:br/>
              <w:t xml:space="preserve">报告期末，产品净值表现具体如下：</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1.02259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1.02259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2,423,047,526.85</w:t>
                        </w:r>
                      </w:p>
                    </w:tc>
                  </w:tr>
                </w:tbl>
                <w:p>
                  <w:pPr>
                    <w:pStyle w:val="EMPTY_CELL_STYLE"/>
                  </w:pPr>
                </w:p>
              </w:tc>
            </w:tr>
          </w:tbl>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1.02225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1.02225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410,748,261.31</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9N21308B</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1.02269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1.02269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1,959,271,186.18</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9N21308C</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1.02182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1.02182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46,008,983.45</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9N21308D</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2022年6月30日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1.02139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7,019,095.91</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徐佳女士，南开大学金融学硕士，北京师范大学经济学和英语双学士，拥有11年金融领域投资交易经验，具有银行间本币交易员资格。历任嘉实基金管理有限公司交易员，于2014年加入兴业银行资产管理部，任兴业银行资产管理部债券投资经理，主要负责债券投资以及固收产品投资管理工作；具有丰富的产品投资管理经验，并积累了丰富的债券投资和交易经验；目前管理逾十只净值型“稳利”系列产品，业绩优异，风格稳健。对宏观和利率走势有专业深入的研判，擅长根据负债属性制定多资产配置策略，并根据市场研判灵活运用多种投资策略。</w:t>
            </w: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36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一、2022年上半年投资策略与运作回顾</w:t>
              <w:br/>
              <w:t xml:space="preserve">    2022年上半年，长端利率整体震荡，短券表现较好，曲线趋于陡峭，10年国债、3年AAA、1年AAA利率较上年末分别上行5bp、上行4bp和下行33bp，各等级和期限信用利差收窄为主。节奏来看，1月中旬央行宣布降息，货币宽松政策进一步落地，带动长端利率在春节前逐步走低，进入2月，部分地区地产政策出现松动，债市发酵宽信用+春季</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792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复苏预期，3月国内股市下跌造成理财固收+产品被赎回，加剧市场调整，10年国债利率上行20-30bp至2.85%左右。3月末至5月中下旬，经济恢复过程被局部疫情推后，货币政策保持宽松，信贷需求不足，债市出现一轮资产荒，期间流动性宽裕的现实与对宽货币预期的谨慎，使得债市收益率曲线趋于陡峭化，10年国债收益率在2.7%-2.85%区间窄幅震荡，1年期存单利率从2.6%趋势下行，一度降至2.25%附近。6月随着上海等地解封，市场逐步交易复苏行情，但资金面仍宽松，长端利率盘整上行。</w:t>
              <w:br/>
              <w:t xml:space="preserve">    产品运作方面，考虑到偏松的货币政策、较弱的经济基本面预期、多地散发的疫情等因素，上半年整体以震荡偏强的市场运作思路来调整组合久期和杠杆等。一季度考虑到降息兑现后利率下行的空间整体有限，产品整体稳健操作，组合久期整体有所下降，二季度随着上海疫情影响加剧，组合适当提高久期。在券种具体操作方面，主要跟踪利差的变动，进行积极调仓，在信用利差显著走扩的情况下，增持了3年内信用债、有所超跌的3-5年大行二级资本债。</w:t>
              <w:br/>
              <w:t xml:space="preserve">    二、下半年投资策略</w:t>
              <w:br/>
              <w:t xml:space="preserve">    6月末以来，长端利率出现较快上行，主要是由于疫情影响消退，市场围绕疫后经济复苏开展交易，财政政策加码亦受到关注。考虑到前期政策靠前发力，复工加速，经济从底部回升，短期内修复斜率可能会比较高，外围仍处于加息环境中，内外因素对债市都偏空，另外市场关注资金面向中性收敛的压力，以上均压制长端利率的表现。市场短期仍面临调整的压力。</w:t>
              <w:br/>
              <w:t xml:space="preserve">    不过我们认为债市整体调整幅度不会太大，经济的持续性修复取决于疫情和地产的发展，还依赖居民收入预期和杠杆行为、财政政策的增量措施、线下消费场景的恢复等，考虑到地产周期和信用周期弹性减弱，债务杠杆可能提升缓慢，货币政策可能偏宽松的资金面，债市调整幅度有限。若财政政策不超预期加码，收益率调整可能是机会，尤其是期限利差压缩的机会。</w:t>
              <w:br/>
              <w:t xml:space="preserve">    利率估值方面，当前绝对水平并不高，考虑到利率中枢下降，有其合理性。各投资机构的久期位于中位数，显示投资者情绪并不极端。</w:t>
              <w:br/>
              <w:t xml:space="preserve">    基于上述对后市的判断，产品将继续保持稳健的投资风格。1、发挥票息策略优势，维持中性偏低的杠杆水平与中性偏低的组合久期。2、震荡思路对待，把握住利率反弹时的配置机会。3、关注收益率曲线平坦化的可能。4、关注“稳增长”政策加码、通胀对债市的风险。</w:t>
            </w: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理财托管机构报告</w:t>
            </w:r>
          </w:p>
        </w:tc>
        <w:tc>
          <w:tcPr>
     </w:tcPr>
          <w:p>
            <w:pPr>
              <w:pStyle w:val="EMPTY_CELL_STYLE"/>
            </w:pPr>
          </w:p>
        </w:tc>
        <w:tc>
          <w:tcPr>
     </w:tcPr>
          <w:p>
            <w:pPr>
              <w:pStyle w:val="EMPTY_CELL_STYLE"/>
            </w:pPr>
          </w:p>
        </w:tc>
      </w:tr>
      <w:tr>
        <w:trPr>
          <w:trHeight w:hRule="exact" w:val="4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00"/>
        </w:trPr>
        <w:tc>
          <w:tcPr>
     </w:tcPr>
          <w:p>
            <w:pPr>
              <w:pStyle w:val="EMPTY_CELL_STYLE"/>
            </w:pPr>
          </w:p>
        </w:tc>
        <w:tc>
          <w:tcPr>
     </w:tcPr>
          <w:p>
            <w:pPr>
              <w:pStyle w:val="EMPTY_CELL_STYLE"/>
            </w:pPr>
          </w:p>
        </w:tc>
        <w:tc>
          <w:tcPr>
            <w:gridSpan w:val="5"/>
            <w:tcMar>
              <w:top w:w="0" w:type="dxa"/>
              <w:left w:w="0" w:type="dxa"/>
              <w:bottom w:w="0" w:type="dxa"/>
              <w:right w:w="0" w:type="dxa"/>
            </w:tcMar>
            <w:vAlign w:val="top"/>
          </w:tcPr>
          <w:p>
            <w:pPr>
              <w:ind/>
              <w:jc w:val="left"/>
              <w:spacing w:lineRule="exact" w:line="320" w:after="0" w:before="0"/>
            </w:pPr>
            <w:r>
              <w:rPr>
                <w:rFonts w:ascii="宋体" w:hAnsi="宋体" w:eastAsia="宋体" w:cs="宋体"/>
                <w:color w:val="000000"/>
                <w:sz w:val="21"/>
              </w:rPr>
              <w:br/>
              <w:t xml:space="preserve">    报告期内，托管人严格遵守《商业银行理财业务监督管理办法》及相关法律法规规定、理财产品托管协议约定，诚实信用、谨慎勤勉地履行了托管人义务，不存在损害理财产品投资者利益的行为。</w:t>
              <w:b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br/>
              <w:t xml:space="preserve">    托管人认真复核了本报告中的净值表现、投资组合报告等内容，认为其真实、准确和完整，不存在虚假记载、误导性陈述或者重大遗漏。</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七.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兴银理财天天万利宝稳利恒盈7号封闭式净值型理财产品第8期2022年半年度报告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49.85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49.85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5.34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5.56</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42.01</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0.23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42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22富阳城投04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450,964,800.00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18.61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22青岛海创01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370,496,540.00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15.29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22滇能源投资ZR001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189,262,332.00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7.81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22两江01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91,248,840.00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22湖北科投01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80,092,480.00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3.31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22闽福建电子ZR003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60,087,360.00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2.48</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22开福城投01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57,077,406.00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22合川城投01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55,068,475.00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21汉江国资MTN003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51,827,550.00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22郑州地产MTN001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50,841,850.00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2.10</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96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20电建地产PPN001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20南部新城MTN001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20武夷投资MTN003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21常德经建MTN002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21三明交建MTN001(革命老区)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22滇能源投资ZR001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189,000,000.00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22福州新发MTN001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22富阳城投04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22合川城投01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22湖北科投01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22嘉善国资MTN001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22开福城投01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22闽福建电子ZR003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22青岛海创01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9N213080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22盐城资产PPN001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9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7" w:name="JR_PAGE_ANCHOR_0_8"/>
            <w:bookmarkEnd w:id="7"/>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兴银理财天天万利宝稳利恒盈7号封闭式净值型理财产品第8期2022年半年度报告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051010100101222461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兴银理财天天万利宝稳利恒盈7号封闭式净值型理财产品第8期</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2022年9月21日</w:t>
            </w:r>
          </w:p>
        </w:tc>
        <w:tc>
          <w:tcPr>
     </w:tcPr>
          <w:p>
            <w:pPr>
              <w:pStyle w:val="EMPTY_CELL_STYLE"/>
            </w:pPr>
          </w:p>
        </w:tc>
        <w:tc>
          <w:tcPr>
     </w:tcPr>
          <w:p>
            <w:pPr>
              <w:pStyle w:val="EMPTY_CELL_STYLE"/>
            </w:pPr>
          </w:p>
        </w:tc>
      </w:tr>
      <w:tr>
        <w:trPr>
          <w:trHeight w:hRule="exact" w:val="82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8/</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8</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