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兴银理财天天万利宝稳利恒盈7号封闭式净值型理财产品第11期</w:t>
              <w:br/>
              <w:t xml:space="preserve">2022年半年度报告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报告送出日期：2022年9月21日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兴银理财天天万利宝稳利恒盈7号封闭式净值型理财产品第11期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9N213110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Z7002021000209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1,860,866,514.01份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稳利恒盈7号11期3年A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9N21311A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1,506,316,514.01</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稳利恒盈7号11期3年B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9N21311B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354,550,000.00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产品9N21311A自成立日以来，累计净值增长率为4.1180%，年化累计净值增长率为5.2190%。</w:t>
              <w:br/>
              <w:t xml:space="preserve">产品9N21311B自成立日以来，累计净值增长率为4.2000%，年化累计净值增长率为5.3229%。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1.04134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1.04134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1,937,790,127.46</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1.04118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1.04118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1,568,348,889.15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1.04200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1.04200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369,441,238.31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王赫先生，复旦大学数学学士，复旦大学金融数学硕士，5年固定收益投资经历。擅长宏观对冲和多beta组合管理，专注于固定收益投资，曾任广发银行金融市场部利率与衍生品交易员、组合管理投资经理。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4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踪利差的变动，进行积极调仓，在信用利差显著走扩的情况下，增持了3年内信用债、有所超跌的3-5年大行二级资本债。</w:t>
              <w:br/>
              <w:t xml:space="preserve">    二、下半年投资策略</w:t>
              <w:br/>
              <w:t xml:space="preserve">    6月末以来，长端利率出现较快上行，主要是由于疫情影响消退，市场围绕疫后经济复苏开展交易，财政政策加</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码亦受到关注。考虑到前期政策靠前发力，复工加速，经济从底部回升，短期内修复斜率可能会比较高，外围仍处于加息环境中，内外因素对债市都偏空，另外市场关注资金面向中性收敛的压力，以上均压制长端利率的表现。市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会，尤其是期限利差压缩的机会。</w:t>
              <w:br/>
              <w:t xml:space="preserve">    利率估值方面，当前绝对水平并不高，考虑到利率中枢下降，有其合理性。各投资机构的久期位于中位数，显示投资者情绪并不极端。</w:t>
              <w:br/>
              <w:t xml:space="preserve">    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52.66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64.42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睿远基金汇见4号集合资产管理计划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400,206,327.38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22常德经建02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295,377,600.00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22扬州经开04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245,318,990.00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12.66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19东方债02BC(品种二)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177,464,700.00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9.16</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20中国信达债01BC</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111,278,090.00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90,131,040.00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22两江01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81,110,080.00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22紫金01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80,471,360.00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22郑州地产MTN001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61,010,220.00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21太湖新城MTN003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60,881,760.00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3.14</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7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19东方债02BC(品种二)</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20晋煤MTN009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20南部新城MTN001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20陕有色MTN002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21东台城投MTN002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21桂交投MTN003(权益出资)</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21弘湘国投MTN001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21建发地产MTN002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21建发地产MTN003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22常德经建02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22扬州经开04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兴银理财天天万利宝稳利恒盈7号封闭式净值型理财产品第11期2022年半年度报告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051010100101261026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兴银理财天天万利宝稳利恒盈7号封闭式净值型理财产品第11期</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2022年9月21日</w:t>
            </w:r>
          </w:p>
        </w:tc>
        <w:tc>
          <w:tcPr>
     </w:tcPr>
          <w:p>
            <w:pPr>
              <w:pStyle w:val="EMPTY_CELL_STYLE"/>
            </w:pPr>
          </w:p>
        </w:tc>
        <w:tc>
          <w:tcPr>
     </w:tcPr>
          <w:p>
            <w:pPr>
              <w:pStyle w:val="EMPTY_CELL_STYLE"/>
            </w:pPr>
          </w:p>
        </w:tc>
      </w:tr>
      <w:tr>
        <w:trPr>
          <w:trHeight w:hRule="exact" w:val="9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