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兴业银行天天万利宝稳利5号净值型理财产品S款2022年半年度报告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兴业银行天天万利宝稳利5号净值型理财产品S款</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兴业银行天天万利宝稳利5号净值型理财产品S款2022年半年度报告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兴业银行天天万利宝稳利5号净值型理财产品S款2022年半年度报告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兴业银行股份有限公司保留对所有文字说明的最终解释权。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兴业银行天天万利宝稳利5号净值型理财产品S款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9K219061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C1030919001056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20,100,032,122.20份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兴业银行股份有限公司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兴业银行天天万利宝稳利5号净值型理财产品S款2022年半年度报告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产品9K219061自成立日以来，累计净值增长率为13.4220%，年化累计净值增长率为5.0350%。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1.13422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1.13422</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22,797,818,129.42</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br/>
              <w:t xml:space="preserve">    董国明先生，中国科学院研究生院理学硕士，2013年加入兴业银行，金融从业13年，曾在光大银行等机构任投资经理，现任资产管理事业部权益投资团队主管。</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兴业银行天天万利宝稳利5号净值型理财产品S款2022年半年度报告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二、下半年投资策略</w:t>
              <w:b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兴业银行天天万利宝稳利5号净值型理财产品S款2022年半年度报告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光大永明资产永聚固收77号集合资产管理产品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2,905,361,398.83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18建设银行二级02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719,500,600.00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18农业银行二级01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670,714,440.00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17工商银行二级01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604,632,000.00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17农业银行二级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503,222,500.00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明远01A3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502,952,000.00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兴业银行天天万利宝稳利5号净值型理财产品S款2022年半年度报告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4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20工商银行二级01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464,853,150.00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21中国银行二级03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332,649,240.00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PR迈科A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327,762,930.00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323,409,210.46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17余姚城投MTN001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18陕投集团MTN006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20工商银行二级01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20蓉城文化(疫情防控债)MTN001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21惠山国投MTN001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21江北新区PPN002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21瑞安国投MTN001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21湛江交投MTN001A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21镇江交通SCP010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兴业银行天天万利宝稳利5号净值型理财产品S款2022年半年度报告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051010100100901018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兴业理财托管专户天天万利宝稳利5号S款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