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兴业银行现金宝（1号）人民币理财计划2022年半年度报告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兴业银行现金宝（1号）人民币理财计划</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11</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兴业银行现金宝（1号）人民币理财计划2022年半年度报告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br/>
              <w:t xml:space="preserve">     7. 理财份额投资人信息</w:t>
              <w:br/>
              <w:t xml:space="preserve">     8. 影响理财份额投资人决策的其他重要信息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11</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兴业银行现金宝（1号）人民币理财计划2022年半年度报告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兴业银行股份有限公司保留对所有文字说明的最终解释权。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兴业银行现金宝（1号）人民币理财计划</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07010011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C1030910000007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47,549,662,017.81份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通知存款七天+浮动基数0%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兴业银行股份有限公司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firstLine="0"/>
              <w:spacing w:lineRule="exact" w:line="320" w:after="0" w:before="0"/>
            </w:pPr>
            <w:r>
              <w:rPr>
                <w:rFonts w:ascii="宋体" w:hAnsi="宋体" w:eastAsia="宋体" w:cs="宋体"/>
                <w:color w:val="000000"/>
                <w:sz w:val="21"/>
              </w:rPr>
              <w:t xml:space="preserve">报告期内，07010011七日年化收益率均值2.8367%。同期业绩比较基准如下：</w:t>
            </w:r>
          </w:p>
        </w:tc>
        <w:tc>
          <w:tcPr>
     </w:tcPr>
          <w:p>
            <w:pPr>
              <w:pStyle w:val="EMPTY_CELL_STYLE"/>
            </w:pPr>
          </w:p>
        </w:tc>
      </w:tr>
      <w:tr>
        <w:trPr>
          <w:trHeight w:hRule="exact" w:val="1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11</w:t>
            </w:r>
          </w:p>
        </w:tc>
        <w:tc>
          <w:tcPr>
     </w:tcPr>
          <w:p>
            <w:pPr>
              <w:pStyle w:val="EMPTY_CELL_STYLE"/>
            </w:pPr>
          </w:p>
        </w:tc>
        <w:tc>
          <w:tcPr>
     </w:tcPr>
          <w:p>
            <w:pPr>
              <w:pStyle w:val="EMPTY_CELL_STYLE"/>
            </w:pPr>
          </w:p>
        </w:tc>
      </w:tr>
    </w:tbl>
    <w:tbl>
      <w:tblPr>
        <w:tblLayout w:type="fixed"/>
      </w:tblPr>
      <w:tblGrid>
        <w:gridCol w:w="1"/>
        <w:gridCol w:w="2800"/>
        <w:gridCol w:w="600"/>
        <w:gridCol w:w="2000"/>
        <w:gridCol w:w="2000"/>
        <w:gridCol w:w="800"/>
        <w:gridCol w:w="2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兴业银行现金宝（1号）人民币理财计划2022年半年度报告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000"/>
              <w:gridCol w:w="4000"/>
              <w:gridCol w:w="46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适用期间</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业绩比较基准</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2022-01-01至2022-06-30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rPr>
              <w:t xml:space="preserve">报告期末，产品收益具体如下：</w:t>
            </w: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万份收益</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七日年化收益率</w:t>
            </w: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0.7433</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2.7420%</w:t>
            </w: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47,549,662,017.81</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陈施颖女士，清华大学理学学士、金融学硕士，中级经济师，8年固定收益市场投资交易经验。2013年加入兴业银行，历任货币市场交易员、债券投资经理、理财产品组合投资经理，2020年加入兴银理财，担任现金管理投资经理，善于大组合的资产配置和流动性管理。现任“兴业银行金雪球添利快线净值型理财产品”、兴业银行-添利1号”净值型理财产品、兴业银行现金宝（1号）人民币理财计划、兴银理财添利8号净值型理财产品、兴银理财日日新1号净值型理财产品、添利天天宝系列投资经理。</w:t>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6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 宏观经济及市场情况</w:t>
              <w:br/>
              <w:t xml:space="preserve">    上半年长端利率整体在多重因素影响下呈震荡走势，10Y国债收益率在2.65-2.85%区间窄幅波动，1月受央行降息和信贷弱化影响下最低下行至2.68%，2-3月中旬信贷开门红和部分城市地产需求端政策松绑引发宽信用预期，收益率上行至阶段高点2.85%。3月下旬以来受疫情影响供应链受损、经济预期转弱，收益率下行至2.74%，后续降准不及预期叠加上海疫情出现拐点，4月底重新站上2.85%。5月尽管政策会议稳增长暖风频吹，但受社融坍塌、经济数据弱、5Y LPR超预期下调等影响，收益率震荡下行至2.7%。6月以来上海复工复产，在季度末资金面收紧、宽财政预期升温、PMI指数回暖的背景下，利率再次上行至2.85%附近。流动性方面，年初以来稳增长基调下货币政策先行，降准、降息等总量政策和结构性货币政策并举，整体呈现流动性宽松的格局。二季度受降准及央行上缴利润、财政投放等影响，流动性更加宽松，隔夜利率长期处于1.5%以下。长端震荡承压、短端交易拥挤，收益率曲线陡峭化。</w:t>
              <w:br/>
              <w:t xml:space="preserve">二 前期运作回顾</w:t>
              <w:br/>
              <w:t xml:space="preserve">    报告期内，本产品始终将保持流动性安全和防范信用风险作为第一要务，在此基础上通过稳健的投资风格实现相对稳定的收益。</w:t>
              <w:br/>
              <w:t xml:space="preserve">    报告期内，本产品运作平稳，前期根据我们对市场的预判，在二季度流动性相对宽松、短端收益率中枢整体下移的格局下，投资上积极把握市场高点的买入机会，主要配置了同业存单、高等级信用债等品种，同时以隔夜正回购为主的杠杆策略为产品增厚收益。报告期内，本产品七日年化收益率均值2.83%，在同类型产品中具有较强竞争力。</w:t>
              <w:br/>
              <w:t xml:space="preserve">三 后期投资策略</w:t>
              <w:br/>
              <w:t xml:space="preserve">    下半年随着疫情缓解、政策加力后经济逐渐复苏，预计流动性将有所收敛，随着宽信用的持续推进，超储消耗加快，隔夜利率也会随之抬升。当前货币市场利率大多基于隔夜1.5%以下定价，收益率绝对水平和信用利差处于历史低位。而市场普遍预期下半年的市场利率将向政策利率回归，整体利率中枢会向上抬升。随着本轮疫情告一段落，稳增长政策下宏观经济整体缓慢复苏，叠加海外通胀和加息缩表扰动，债市基本面承压。但债券市场的配置需求仍然旺盛，同时市场对于政策的力度和效果、利率上行的节奏以及曲线形态的变化的预期也存在分歧，市场可能</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11</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兴业银行现金宝（1号）人民币理财计划2022年半年度报告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仍然延续窄幅波动的格局。</w:t>
              <w:br/>
              <w:t xml:space="preserve">    下阶段我们会深入研究分析债券市场收益率的变化趋势，在此基础上制定科学有效的投资策略。久期策略上，我们会权衡资产票息收入和资本利得，保持合理的配置久期。资产品种上，我们会综合考量各投资品种的风险收益特征，保持安全性和流动性优先、兼顾收益性的稳健投资策略。</w:t>
              <w:br/>
              <w:t xml:space="preserve">    此外，结合已颁布的《关于规范现金管理类理财产品管理有关事项的通知》，我们将持续按照监管部门的要求，对产品组合进行调整和优化。</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8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2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11</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兴业银行现金宝（1号）人民币理财计划2022年半年度报告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建设银行深圳分行活期存款（约期）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21国开02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1,093,563,987.60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20建信金融债01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1,028,162,849.38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存放同业20220214001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存放同业20210314002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22CSFD76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21CSFD156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21CSFD203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21农业银行CD142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988,959,418.40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20中国信达债02BC(品种一)</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828,794,567.09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w:t>
                        </w:r>
                      </w:p>
                    </w:tc>
                  </w:tr>
                </w:tbl>
                <w:p>
                  <w:pPr>
                    <w:pStyle w:val="EMPTY_CELL_STYLE"/>
                  </w:pPr>
                </w:p>
              </w:tc>
            </w:tr>
          </w:tbl>
          <w:p>
            <w:pPr>
              <w:pStyle w:val="EMPTY_CELL_STYLE"/>
            </w:pPr>
          </w:p>
        </w:tc>
        <w:tc>
          <w:tcPr>
     </w:tcPr>
          <w:p>
            <w:pPr>
              <w:pStyle w:val="EMPTY_CELL_STYLE"/>
            </w:pPr>
          </w:p>
        </w:tc>
      </w:tr>
      <w:tr>
        <w:trPr>
          <w:trHeight w:hRule="exact" w:val="38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11</w:t>
            </w: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兴业银行现金宝（1号）人民币理财计划2022年半年度报告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38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17江北国资MTN002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17鲁能源MTN001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18滁州城投MTN001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18华润置地MTN002B</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18闽漳龙MTN001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18陕煤化MTN004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18市北高新MTN001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18余姚城投MTN002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18渝江北嘴MTN001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18豫交投MTN001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18越秀金融MTN001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18越秀金融MTN002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18越秀金融MTN003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18中国航材MTN001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19蒙牛MTN001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19闽国资MTN001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19中建投租MTN001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20百联集MTN001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20保利发展MTN005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20渤海银行小微债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20东方债02BC</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20湖交投MTN002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11</w:t>
            </w: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兴业银行现金宝（1号）人民币理财计划2022年半年度报告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4400"/>
        </w:trPr>
        <w:tc>
          <w:tcPr>
     </w:tcPr>
          <w:p>
            <w:pPr>
              <w:pStyle w:val="EMPTY_CELL_STYLE"/>
            </w:pPr>
          </w:p>
        </w:tc>
        <w:tc>
          <w:tcPr>
            <w:gridSpan w:val="4"/>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20华夏租赁债01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20江苏租赁绿色01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20鲁能源MTN002A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20南京医药MTN002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20南通城建MTN002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20青岛城投MTN004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20陕延油MTN003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20苏沙钢MTN001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20太不锈MTN001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20天成租赁GN001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20天成租赁GN002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20中国信达债02BC(品种一)</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20中交城投MTN002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21楚天智能SCP004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21华夏租赁债01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21乐清国投CP001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21闽冶金SCP008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21万科MTN001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21温江兴蓉CP001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21乌城投MTN002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21湘高速MTN006(革命老区)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21雨花城投SCP002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21招联消费金融债04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21浙商资产PPN001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11</w:t>
            </w: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兴业银行现金宝（1号）人民币理财计划2022年半年度报告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14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22安吉租赁ABN001优先A1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86,724,000.00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22福州城投SCP002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22格盟SCP002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22广州医药SCP001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22国新保理SCP001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22汇融臻华1ABN001优先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22建安投资CP001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22津城建SCP022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22临海国投PPN001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22青岛国信SCP001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22宿迁水务SCP002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22万华化学CP006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22乌经开CP001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22武金控SCP002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22厦路桥SCP001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22夏商SCP003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22云南冶金SCP001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22中交城投SCP001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22中交租赁SCP001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1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9/</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11</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00"/>
        <w:gridCol w:w="160"/>
        <w:gridCol w:w="40"/>
        <w:gridCol w:w="1"/>
      </w:tblGrid>
      <w:tr>
        <w:trPr>
          <w:trHeight w:hRule="exact" w:val="0"/>
        </w:trPr>
        <w:tc>
          <w:tcPr>
     </w:tcPr>
          <w:p>
            <w:pPr>
              <w:pStyle w:val="EMPTY_CELL_STYLE"/>
              <w:pageBreakBefore/>
            </w:pPr>
            <w:bookmarkStart w:id="9" w:name="JR_PAGE_ANCHOR_0_10"/>
            <w:bookmarkEnd w:id="9"/>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兴业银行现金宝（1号）人民币理财计划2022年半年度报告</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051010100100004465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兴业银行股份有限公司理财产品托管专户</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7.理财份额投资人信息</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0"/>
              </w:rPr>
              <w:t xml:space="preserve"> 7.1期末现金管理类产品前十大份额投资人情况</w:t>
            </w:r>
          </w:p>
        </w:tc>
        <w:tc>
          <w:tcPr>
     </w:tcPr>
          <w:p>
            <w:pPr>
              <w:pStyle w:val="EMPTY_CELL_STYLE"/>
            </w:pPr>
          </w:p>
        </w:tc>
      </w:tr>
      <w:tr>
        <w:trPr>
          <w:trHeight w:hRule="exact" w:val="66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400"/>
              <w:gridCol w:w="3200"/>
              <w:gridCol w:w="3200"/>
              <w:gridCol w:w="30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投资者类别</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持有份额（份）</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占总份额占比（%）</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90,249,105.40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0.1898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84,890,630.15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0.1786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77,531,193.10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0.1631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72,123,608.93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0.1517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71,993,901.79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0.1514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68,320,275.64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0.1437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62,215,983.48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0.1309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62,156,639.46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0.1307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55,062,888.96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0.1158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50,320,224.61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0.1059</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8.影响理财份额投资人决策的其他重要信息</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0"/>
              </w:rPr>
              <w:t xml:space="preserve"> 8.1报告期内单一投资者持有产品份额达到或者超过该产品总份额20%的情形</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8"/>
            <w:tcMar>
              <w:top w:w="0" w:type="dxa"/>
              <w:left w:w="0" w:type="dxa"/>
              <w:bottom w:w="0" w:type="dxa"/>
              <w:right w:w="0" w:type="dxa"/>
            </w:tcMar>
          </w:tcPr>
          <w:tbl>
            <w:tblPr>
              <w:tblLayout w:type="fixed"/>
            </w:tblPr>
            <w:tblGrid>
              <w:gridCol w:w="11000"/>
              <w:gridCol w:w="11000"/>
            </w:tblGrid>
            <w:tr>
              <w:trPr>
                <w:trHeight w:hRule="exact" w:val="600"/>
              </w:trPr>
              <w:tc>
                <w:tcPr>
                  <w:shd w:val="clear" w:color="auto" w:fill="FFFFFF"/>
                  <w:tcMar>
                    <w:top w:w="0" w:type="dxa"/>
                    <w:left w:w="0" w:type="dxa"/>
                    <w:bottom w:w="0" w:type="dxa"/>
                    <w:right w:w="0" w:type="dxa"/>
                  </w:tcMar>
                </w:tcPr>
                <w:tbl>
                  <w:tblPr>
                    <w:tblLayout w:type="fixed"/>
                  </w:tblPr>
                  <w:tblGrid>
                    <w:gridCol w:w="11000"/>
                    <w:gridCol w:w="11000"/>
                  </w:tblGrid>
                  <w:tr>
                    <w:trPr>
                      <w:trHeight w:hRule="atLeast" w:val="600"/>
                    </w:trPr>
                    <w:tc>
                      <w:tcPr>
                        <w:tcMar>
                          <w:top w:w="0" w:type="dxa"/>
                          <w:left w:w="0" w:type="dxa"/>
                          <w:bottom w:w="0" w:type="dxa"/>
                          <w:right w:w="0" w:type="dxa"/>
                        </w:tcMar>
                        <w:vAlign w:val="center"/>
                      </w:tcPr>
                      <w:p>
                        <w:pPr>
                          <w:ind/>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10/</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11</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10" w:name="JR_PAGE_ANCHOR_0_11"/>
            <w:bookmarkEnd w:id="1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兴业银行现金宝（1号）人民币理财计划2022年半年度报告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兴业银行股份有限公司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r>
      <w:tr>
        <w:trPr>
          <w:trHeight w:hRule="exact" w:val="12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11</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