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兴银理财灵动全天候35号净值型理财产品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兴银理财灵动全天候35号净值型理财产品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9K212085</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Z7002021000024</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51,840,377.66份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3.00%--6.50%/6.50%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兴银灵动35号年年升A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9K212185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18,399,985.48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兴银灵动35号年年升B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9K212285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33,440,392.18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兴银理财灵动全天候35号净值型理财产品2022年第三季度报告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产品9K212185自成立日以来，累计净值增长率为-0.0640%，年化累计净值增长率为-0.2163%。</w:t>
            </w:r>
            <w:r>
              <w:rPr>
                <w:rFonts w:ascii="宋体" w:hAnsi="宋体" w:eastAsia="宋体" w:cs="宋体"/>
                <w:color w:val="000000"/>
                <w:sz w:val="21"/>
              </w:rPr>
              <w:br w:type="textWrapping"/>
            </w:r>
            <w:r>
              <w:rPr>
                <w:rFonts w:ascii="宋体" w:hAnsi="宋体" w:eastAsia="宋体" w:cs="宋体"/>
                <w:color w:val="000000"/>
                <w:sz w:val="21"/>
              </w:rPr>
              <w:t>产品9K212285自成立日以来，累计净值增长率为-0.0300%，年化累计净值增长率为-0.1014%。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9K212085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0.99958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0.99958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51,818,640.47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9K212185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0.99936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0.99936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18,388,124.41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9K212285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0.99970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0.99970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33,430,516.06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24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2022年第三季度，我们迎来了降息、美联储持续加息、外需走弱、俄乌战争持续的局面。权益市场方面，虽然货币政策依然持续友善，但内外部需求的走弱，美元加息周期的压力，导致市场出现震荡下行的走势。债市则在降息后出现价格上行，但随着美联储加息的持续，RMB贬值压力之下也出现了回调，体现债市对后期货币政策的不乐观预期。本报告期内，本组合积极调整债券持仓，利用利率衍生品对冲久期风险，此外对权益资产进行积极调整行业结构。本组合净值在本报告期内相对表现较好。</w:t>
            </w:r>
            <w:r>
              <w:rPr>
                <w:rFonts w:ascii="宋体" w:hAnsi="宋体" w:eastAsia="宋体" w:cs="宋体"/>
                <w:color w:val="000000"/>
                <w:sz w:val="21"/>
              </w:rPr>
              <w:br w:type="textWrapping"/>
            </w:r>
            <w:r>
              <w:rPr>
                <w:rFonts w:ascii="宋体" w:hAnsi="宋体" w:eastAsia="宋体" w:cs="宋体"/>
                <w:color w:val="000000"/>
                <w:sz w:val="21"/>
              </w:rPr>
              <w:t xml:space="preserve">    展望四季度，外部美联储会继续收紧货币，但美债利率逐步见顶，发达国家外需可能受损，俄乌战争边际影响降低但对发达国家的供给和需求的伤害还会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15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兴银理财灵动全天候35号净值型理财产品2022年第三季度报告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兴瀚资管兴添翼22号集合资产管理计划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10,165,145.74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10,047,975.44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兴银理财灵动全天候35号净值型理财产品2022年第三季度报告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22中证04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4,582,651.50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20广晟MTN004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3,555,485.50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2,571,957.50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21贵州水投GN001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2,555,375.00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18上饶投资MTN001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2,552,950.00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20江宁经开MTN003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2,545,315.00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20军民融合PPN001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2,543,210.00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20华电租赁PPN002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2,531,855.00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9K212085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051010100101171212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兴银理财灵动全天候35号净值型理财产品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1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31EE749D"/>
    <w:rsid w:val="6AE52A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2022-10-21T06:10:00Z</dcterms:created>
  <dc:creator>cib</dc:creator>
  <cp:lastModifiedBy>cib</cp:lastModifiedBy>
  <dcterms:modified xsi:type="dcterms:W3CDTF">2022-10-21T11:49:41Z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