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兴银理财兴动多策略封闭式3号增强型固收类理财产品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兴银理财兴动多策略封闭式3号增强型固收类理财产品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9K212230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Z7002022000062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71,826,291.98份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0.01%--6.05%/--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产品9K212230自成立日以来，累计净值增长率为0.0860%，年化累计净值增长率为0.2906%。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1.00086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1.00086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71,887,820.99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6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国内疫情防控措施进一步优化，稳增长政策持续发力，出口仍有较强支撑，中国经济延续恢复。但受疫情反复、高温干旱、房地产下行等影响，内需仍现疲软，经济恢复程度不及预期。与此同时，外部风险进一步加大。全球来看，在俄乌冲突、通胀上行、贸易保护主义兴起下的逆全球化等综合影响下，全球经济增速逐季放缓。避险需求下，美元持续大涨，美元指数突破 110 关口，日元、欧元等主要货币出现较大幅度贬值，日债、英债先后出现大幅抛售。然而，在经济增速趋缓中，连续强劲的 CPI数据却迫使美联储不得不保持鹰派，通胀回落加息放缓的预期落空，三季中至季末，全球股市震荡下跌。港股受海外流动性收缩与国内基本面的双重压力，大幅下挫。而 A 股则在整体方向性下跌中呈现出各板块的快速轮动。</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随着十月关键节点的到来，各项稳增长政策或将加码，经济磨底概率增大。但考虑到目前国内外宏观局势与已出台政策的效力，预计地产和基建两大领域向上提振的力度仍将较为有限，与此同时四季度仍将面临出口下行、消费疲软等压力。整体利率在经历两个季度的大幅下行后，短期内预计或将维持区间震荡。随着时间的推移，如美联储在通胀斜率趋缓及海外衰退可见时出现转鸽迹象，国内届时甚至或将择机降息（汇率压力较小的窗口），彼时债券利率或可再次下探，在这一阶段行情中，组合可继续维持中性偏高久期，重点配置信用等级高和流动性佳的品种。</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市场层面，目前市场整体估值对负面因素已有较多反映，价格与情绪都已经达到历史区间较为极端的水平，虽然短期路径仍存不确定性，但纵观全球，当前全球主要经济体均面临较大结构性挑战，而中国仍然拥有广阔的内需市场，相对温和的物价使得政策空间仍在，只要政策及时适度发力，从中长期的角度来看，市场机遇大于风险。而当下应在行业景气度和估值性价比之间做动态平衡，做好组合波动率与回撤的管理。</w:t>
            </w:r>
            <w:r>
              <w:rPr>
                <w:rFonts w:ascii="宋体" w:hAnsi="宋体" w:eastAsia="宋体" w:cs="宋体"/>
                <w:color w:val="000000"/>
                <w:sz w:val="21"/>
              </w:rPr>
              <w:br w:type="textWrapping"/>
            </w:r>
            <w:r>
              <w:rPr>
                <w:rFonts w:ascii="宋体" w:hAnsi="宋体" w:eastAsia="宋体" w:cs="宋体"/>
                <w:color w:val="000000"/>
                <w:sz w:val="21"/>
              </w:rPr>
              <w:t>”</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5"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Theme="minorEastAsia"/>
                            <w:lang w:val="en-US" w:eastAsia="zh-CN"/>
                          </w:rPr>
                        </w:pPr>
                        <w:r>
                          <w:rPr>
                            <w:rFonts w:hint="eastAsia" w:ascii="宋体" w:hAnsi="宋体" w:eastAsia="宋体" w:cs="宋体"/>
                            <w:color w:val="000000"/>
                            <w:sz w:val="21"/>
                            <w:lang w:val="en-US" w:eastAsia="zh-CN"/>
                          </w:rPr>
                          <w:t>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asciiTheme="minorEastAsia" w:hAnsiTheme="minorEastAsia" w:eastAsiaTheme="minorEastAsia" w:cstheme="minorEastAsia"/>
                            <w:lang w:val="en-US" w:eastAsia="zh-CN"/>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Theme="minorEastAsia"/>
                            <w:lang w:val="en-US" w:eastAsia="zh-CN"/>
                          </w:rPr>
                        </w:pPr>
                        <w:r>
                          <w:rPr>
                            <w:rFonts w:hint="eastAsia" w:ascii="宋体" w:hAnsi="宋体" w:eastAsia="宋体" w:cs="宋体"/>
                            <w:color w:val="000000"/>
                            <w:sz w:val="21"/>
                            <w:lang w:val="en-US" w:eastAsia="zh-CN"/>
                          </w:rPr>
                          <w:t>1.93</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71,691,447.31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hint="eastAsia" w:ascii="宋体" w:hAnsi="宋体" w:eastAsia="宋体" w:cs="宋体"/>
                            <w:color w:val="000000"/>
                            <w:sz w:val="21"/>
                          </w:rPr>
                          <w:t>1,423,242.64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Theme="minorEastAsia"/>
                            <w:lang w:val="en-US" w:eastAsia="zh-CN"/>
                          </w:rPr>
                        </w:pPr>
                        <w:r>
                          <w:rPr>
                            <w:rFonts w:hint="eastAsia" w:ascii="宋体" w:hAnsi="宋体" w:eastAsia="宋体" w:cs="宋体"/>
                            <w:color w:val="000000"/>
                            <w:sz w:val="21"/>
                            <w:lang w:val="en-US" w:eastAsia="zh-CN"/>
                          </w:rPr>
                          <w:t>1.98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7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bookmarkStart w:id="6" w:name="_GoBack"/>
            <w:bookmarkEnd w:id="6"/>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051010100101364019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兴银理财兴动多策略封闭式3号增强型固收类理财产品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800"/>
  <w:compat>
    <w:useFELayout/>
    <w:splitPgBreakAndParaMark/>
    <w:compatSetting w:name="compatibilityMode" w:uri="http://schemas.microsoft.com/office/word" w:val="12"/>
  </w:compat>
  <w:rsids>
    <w:rsidRoot w:val="00000000"/>
    <w:rsid w:val="05BD7F54"/>
    <w:rsid w:val="0A13483F"/>
    <w:rsid w:val="0D5D0C4E"/>
    <w:rsid w:val="0F4D3BCC"/>
    <w:rsid w:val="132B7D58"/>
    <w:rsid w:val="169D41AF"/>
    <w:rsid w:val="3045567D"/>
    <w:rsid w:val="35BF2EEB"/>
    <w:rsid w:val="384D4357"/>
    <w:rsid w:val="3A72703E"/>
    <w:rsid w:val="3BAB7792"/>
    <w:rsid w:val="54821B23"/>
    <w:rsid w:val="6302279B"/>
    <w:rsid w:val="64260A9E"/>
    <w:rsid w:val="65674D5A"/>
    <w:rsid w:val="6B575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2022-10-20T11:54:00Z</dcterms:created>
  <dc:creator>User</dc:creator>
  <cp:lastModifiedBy>李艺</cp:lastModifiedBy>
  <dcterms:modified xsi:type="dcterms:W3CDTF">2022-10-21T12:21:50Z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