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兴银理财兴合汇中1号混合类净值型理财产品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兴银理财兴合汇中1号混合类净值型理财产品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9K212804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Z7002021000059</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混合类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1,077,132,198.72份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沪深300指数收益率*60%+中债新综合财富（1年以下）指数收益率*40%/--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R4</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产品9K212804自成立日以来，累计净值增长率为-17.2730%，年化累计净值增长率为-13.5584%。</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3" w:name="JR_PAGE_ANCHOR_0_4"/>
            <w:bookmarkEnd w:id="3"/>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0.82727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0.82727</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891,084,037.74</w:t>
            </w: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杨梦影女士，南京大学学士，中国社会科学院研究员院硕士，2018年加入兴业银行，8年金融从业经验，曾在兴业基金等机构任投资经理，现任兴银理财权益投资团队投资经理。</w:t>
            </w:r>
            <w:r>
              <w:rPr>
                <w:rFonts w:ascii="宋体" w:hAnsi="宋体" w:eastAsia="宋体" w:cs="宋体"/>
                <w:color w:val="000000"/>
                <w:sz w:val="21"/>
              </w:rPr>
              <w:br w:type="textWrapping"/>
            </w: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p>
            <w:pPr>
              <w:pStyle w:val="4"/>
            </w:pPr>
          </w:p>
        </w:tc>
      </w:tr>
      <w:tr>
        <w:tblPrEx>
          <w:tblCellMar>
            <w:top w:w="0" w:type="dxa"/>
            <w:left w:w="10" w:type="dxa"/>
            <w:bottom w:w="0" w:type="dxa"/>
            <w:right w:w="10" w:type="dxa"/>
          </w:tblCellMar>
        </w:tblPrEx>
        <w:trPr>
          <w:gridAfter w:val="4"/>
          <w:wAfter w:w="40" w:type="dxa"/>
          <w:trHeight w:val="7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p>
            <w:pPr>
              <w:pStyle w:val="4"/>
            </w:pPr>
          </w:p>
        </w:tc>
      </w:tr>
      <w:tr>
        <w:tblPrEx>
          <w:tblCellMar>
            <w:top w:w="0" w:type="dxa"/>
            <w:left w:w="10" w:type="dxa"/>
            <w:bottom w:w="0" w:type="dxa"/>
            <w:right w:w="10" w:type="dxa"/>
          </w:tblCellMar>
        </w:tblPrEx>
        <w:trPr>
          <w:gridAfter w:val="4"/>
          <w:wAfter w:w="40" w:type="dxa"/>
          <w:trHeight w:val="420" w:hRule="exact"/>
        </w:trPr>
        <w:tc>
          <w:p>
            <w:pPr>
              <w:pStyle w:val="4"/>
            </w:pPr>
          </w:p>
        </w:tc>
        <w:tc>
          <w:tcPr>
            <w:gridSpan w:val="5"/>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9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2022年整体是宏观因素多且复杂的一年。在美债利率大幅上行、俄乌冲突长期化、全国各地尤其是华东地区疫情散发的事件下，前4个月市场大幅下跌，5-6月在复工复产后，随着企业盈利预期好转、流动性宽松的大背景下，市场迎来一轮反弹，其中边际变化更明显的新兴产业反弹更猛。三季度以来美债利率大幅上行、国内地产疫情有所恶化、俄乌冲突烈度提高等因素进一步压制，市场再度震荡下行。其中由于科技领域前期反弹较多，下跌幅度也较大。</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一、2022年三季度投资策略与运作回顾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2022年三季度债券收益率先下后上，呈V形走势。7月在疫情点状爆发、地产风波持续的影响下，经济修复预期转弱，市场避险情绪升温，叠加资金面宽松，债市整体震荡收涨，曲线小幅走陡，10年期国债收益率从2.85%附近下降至2.75%附近。8月资金面保持充裕，经济修复预期仍弱，央行意外降息打开利率下行空间，10年期国债收益率从月初的2.75%左右下行至2.62%附近。9月海外货币政策收紧，美元指数大涨、人民币汇率贬值，国内经济高频数据出现回暖迹象，稳增长与宽信用政策陆续出台，长短端利率震荡上行，10年期国债收益率从月初的2.62%左右上行至月末突破2.75%。</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偏松的货币政策、较弱的经济基本面预期、多地散发的疫情等因素，三季度整体加大了对久期策略的运用，7-8月中旬稳步提升产品平均久期，并在9月后逐步换仓止盈。在券种具体操作方面，主要跟踪利差的变动，进行积极调仓，从信用利差、期限利差等多角度为组合增厚投资收益。</w:t>
            </w:r>
            <w:r>
              <w:rPr>
                <w:rFonts w:ascii="宋体" w:hAnsi="宋体" w:eastAsia="宋体" w:cs="宋体"/>
                <w:color w:val="000000"/>
                <w:sz w:val="21"/>
              </w:rPr>
              <w:br w:type="textWrapping"/>
            </w:r>
            <w:r>
              <w:rPr>
                <w:rFonts w:ascii="宋体" w:hAnsi="宋体" w:eastAsia="宋体" w:cs="宋体"/>
                <w:color w:val="000000"/>
                <w:sz w:val="21"/>
              </w:rPr>
              <w:t>二、四季度投资策略</w:t>
            </w:r>
            <w:r>
              <w:rPr>
                <w:rFonts w:ascii="宋体" w:hAnsi="宋体" w:eastAsia="宋体" w:cs="宋体"/>
                <w:color w:val="000000"/>
                <w:sz w:val="21"/>
              </w:rPr>
              <w:br w:type="textWrapping"/>
            </w:r>
            <w:r>
              <w:rPr>
                <w:rFonts w:ascii="宋体" w:hAnsi="宋体" w:eastAsia="宋体" w:cs="宋体"/>
                <w:color w:val="000000"/>
                <w:sz w:val="21"/>
              </w:rPr>
              <w:t xml:space="preserve">    展望后期，当前市场因为对于国内经济和海外流动性等诸多担忧，股债性价比指标再度下跌至性价比极高、堪比2018年底、2020年3月的位置。拉长时间看，随着经济逐步企稳、企业盈利预期逐步稳定，权益市场中长期性价比较高。我们认为当前包括地产、疫情、中美关系这些压制因素均不能线性外推到极度悲观情形，相信国家相信党能够在中长期通过非线性政策解决目前大家担忧事项。就板块而言，在极度低估大背景下，我们认为各行各业均有机会，机会兑现的节奏取决于后续政策出台的节奏。体现在操作上，当前会维持一定的仓位，结构上在均衡配置的</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基础上，等待政策进一步指引来相应操作。</w:t>
            </w:r>
            <w:r>
              <w:rPr>
                <w:rFonts w:ascii="宋体" w:hAnsi="宋体" w:eastAsia="宋体" w:cs="宋体"/>
                <w:color w:val="000000"/>
                <w:sz w:val="21"/>
              </w:rPr>
              <w:br w:type="textWrapping"/>
            </w:r>
            <w:r>
              <w:rPr>
                <w:rFonts w:ascii="宋体" w:hAnsi="宋体" w:eastAsia="宋体" w:cs="宋体"/>
                <w:color w:val="000000"/>
                <w:sz w:val="21"/>
              </w:rPr>
              <w:t xml:space="preserve">    宏观经济方面，近期增量政策持续发力。9月地产放松政策频繁出台，地产销售情况也有所好转。预计四季度社融下行趋势放缓，经济基本面存在企稳可能。短期来看，稳增长宽信用政策不断发力，债市震荡调整行情可能持续；中期来看，在防疫政策保持严格、消费复苏偏弱、地产放松政策效果有待观察的环境下，资金面收紧概率较低，债市继续出现大幅调整的可能性也较低，预计仍将保持震荡行情，继续在合理范围进行动态操作。</w:t>
            </w:r>
            <w:r>
              <w:rPr>
                <w:rFonts w:ascii="宋体" w:hAnsi="宋体" w:eastAsia="宋体" w:cs="宋体"/>
                <w:color w:val="000000"/>
                <w:sz w:val="21"/>
              </w:rPr>
              <w:br w:type="textWrapping"/>
            </w:r>
            <w:r>
              <w:rPr>
                <w:rFonts w:ascii="宋体" w:hAnsi="宋体" w:eastAsia="宋体" w:cs="宋体"/>
                <w:color w:val="000000"/>
                <w:sz w:val="21"/>
              </w:rPr>
              <w:t xml:space="preserve">    基于上述对后市的判断，产品将继续保持稳健的投资风格。1、整体以久期和杠杆策略为主，如遇明显调整可将久期和杠杆调整至合意偏高的水平，审慎使用信用下沉策略。2、利率债优于信用债。3、资本债品种波动性较前期明显下降，且信用风险低、票息更高，可择机配置。4、关注“稳增长”政策加码、海外市场波动对债市的风险。</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8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2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400" w:hRule="exact"/>
        </w:trPr>
        <w:tc>
          <w:p>
            <w:pPr>
              <w:pStyle w:val="4"/>
            </w:pPr>
          </w:p>
        </w:tc>
        <w:tc>
          <w:p>
            <w:pPr>
              <w:pStyle w:val="4"/>
            </w:pPr>
          </w:p>
        </w:tc>
        <w:tc>
          <w:tcPr>
            <w:gridSpan w:val="6"/>
          </w:tcPr>
          <w:p>
            <w:pPr>
              <w:pStyle w:val="4"/>
            </w:pPr>
          </w:p>
        </w:tc>
        <w:tc>
          <w:tcPr>
            <w:gridSpan w:val="4"/>
          </w:tcPr>
          <w:p>
            <w:pPr>
              <w:pStyle w:val="4"/>
            </w:pPr>
          </w:p>
        </w:tc>
        <w:tc>
          <w:tcPr>
            <w:gridSpan w:val="2"/>
          </w:tcPr>
          <w:p>
            <w:pPr>
              <w:pStyle w:val="4"/>
            </w:pP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6"/>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40" w:type="dxa"/>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中欧基金榕铭1号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491,998,679.94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55.21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22广晟01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50,835,250.00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22兴业F2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50,421,800.00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21宜兴城投PPN003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40,594,520.00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22银河C5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39,992,400.00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21江宁经开PPN003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30,419,400.00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22建邺G2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30,355,200.00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22武汉三镇SCP002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30,000,240.00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19江城02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20,934,340.00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21国太03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20,347,140.00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2.28</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wAfter w:w="40" w:type="dxa"/>
          <w:trHeight w:val="18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22肥西城乡PPN001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9K212804</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22黄冈城投MTN002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106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兴银理财兴合汇中1号混合类净值型理财产品2022年第三季度报告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051010100101192433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兴银理财兴合汇中1号混合类净值型理财产品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440" w:hRule="exact"/>
        </w:trPr>
        <w:tc>
          <w:p>
            <w:pPr>
              <w:pStyle w:val="4"/>
            </w:pPr>
          </w:p>
        </w:tc>
        <w:tc>
          <w:tcPr>
            <w:gridSpan w:val="2"/>
          </w:tcPr>
          <w:p>
            <w:pPr>
              <w:pStyle w:val="4"/>
            </w:pPr>
          </w:p>
        </w:tc>
        <w:tc>
          <w:tcPr>
            <w:gridSpan w:val="5"/>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5"/>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17D26EDA"/>
    <w:rsid w:val="1A0571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2022-10-21T06:10:00Z</dcterms:created>
  <dc:creator>cib</dc:creator>
  <cp:lastModifiedBy>cib</cp:lastModifiedBy>
  <dcterms:modified xsi:type="dcterms:W3CDTF">2022-10-21T12:03:17Z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