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兴银理财金雪球稳利年年兴B款净值型理财产品2022年第三季度报告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兴银理财金雪球稳利年年兴B款净值型理财产品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兴银理财金雪球稳利年年兴B款净值型理财产品2022年第三季度报告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兴银理财金雪球稳利年年兴B款净值型理财产品2022年第三季度报告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兴银理财金雪球稳利年年兴B款净值型理财产品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9C212120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Z7002021000153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863,829,818.28份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3.90%--4.30%/--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产品9C212120自成立日以来，累计净值增长率为4.4880%，年化累计净值增长率为4.7345%。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兴银理财金雪球稳利年年兴B款净值型理财产品2022年第三季度报告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1.04488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1.04488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902,595,326.61</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罗俊鹏先生，现任兴银理财专户投资部投资经理，上海交通大学硕士，具有4年固定收益投资经验，历任兴银理财固定收益部投资助理、投资经理，负责多款上市企业专户产品及公募产品管理，管理规模超过520亿，产品业绩优异，擅长利率债交易及信用债套利挖掘，投资风格灵活，专注于多策略获取组合超额回报。</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3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三季度市场回顾：2022年第三季度债券收益率整体呈现先大幅下行后震荡抬升的“W型”走势，长端下行明显，而随着资金收敛短端收益率整体低位震荡，期限利差进一步压缩。半年末到7月底受资金面整体宽松、逐渐蔓延全国的房地产停贷断供事件、美国众议院议长佩洛西窜访我国台湾风险事件影响，债券收益率保持震荡下行趋势。10年国债活跃券收益率由月初的2.83%下行10bp到月末的2.73%，3年国债活跃券收益率由月初的2.43%下行10bp到月末的2.23%。</w:t>
            </w:r>
            <w:r>
              <w:rPr>
                <w:rFonts w:ascii="宋体" w:hAnsi="宋体" w:eastAsia="宋体" w:cs="宋体"/>
                <w:color w:val="000000"/>
                <w:sz w:val="21"/>
              </w:rPr>
              <w:br w:type="textWrapping"/>
            </w:r>
            <w:r>
              <w:rPr>
                <w:rFonts w:ascii="宋体" w:hAnsi="宋体" w:eastAsia="宋体" w:cs="宋体"/>
                <w:color w:val="000000"/>
                <w:sz w:val="21"/>
              </w:rPr>
              <w:t xml:space="preserve">    7月到8月底，市场利率延续下行。7月社融和新增贷款数据大幅低于预期，8月15日央行超预期下调MLF和公开市场逆回购利率10BP，债市做多情绪点燃，降息当天10年国债活跃券收益率大幅下行8.3bp至2.65%，10年期国债主力连续合约一度大涨0.91%，创两年多新高。当月，1年期国债收益率下行幅度在10bp左右，2-3年AA+信用主体收益率下行20bp左右，4-5年AAA高等级信用债收益率多数下行20-30bp。市场资金极度宽松，“资产荒”进一步加剧，债券市场收益率整体下行至历史低点。</w:t>
            </w:r>
            <w:r>
              <w:rPr>
                <w:rFonts w:ascii="宋体" w:hAnsi="宋体" w:eastAsia="宋体" w:cs="宋体"/>
                <w:color w:val="000000"/>
                <w:sz w:val="21"/>
              </w:rPr>
              <w:br w:type="textWrapping"/>
            </w:r>
            <w:r>
              <w:rPr>
                <w:rFonts w:ascii="宋体" w:hAnsi="宋体" w:eastAsia="宋体" w:cs="宋体"/>
                <w:color w:val="000000"/>
                <w:sz w:val="21"/>
              </w:rPr>
              <w:t xml:space="preserve">    8月到9月底，郑州开展大干30天保交楼专项行动，宁波、苏州、青岛、济南等地放松楼市限购政策，且部分民企地产发债获得中债增全额担保，地产融资环境向好。国内疫情有所缓和，基建托底发力。稳增长政策、地产政策力度加大影响债券市场情绪。另一方面，资金价格整体呈现波动上行趋势，使债券市场整体小幅走弱。海外方面，美联储激进加息背景下，美债利率大幅上行，人民币汇率承压对债市形成制约。在多重利空扰动下债券市场整体收益率曲线上移，短端利率上行幅度超过长端利率，曲线呈现平坦化趋势。10年国债活跃券收益率由月初的2.62%上行14bp到月末的2.76%，3年国债活跃券收益率由月初的2.18%上行15bp到月末的2.33%。4-5年银行二级资本债品种普遍上行5-10bp。</w:t>
            </w:r>
            <w:r>
              <w:rPr>
                <w:rFonts w:ascii="宋体" w:hAnsi="宋体" w:eastAsia="宋体" w:cs="宋体"/>
                <w:color w:val="000000"/>
                <w:sz w:val="21"/>
              </w:rPr>
              <w:br w:type="textWrapping"/>
            </w:r>
            <w:r>
              <w:rPr>
                <w:rFonts w:ascii="宋体" w:hAnsi="宋体" w:eastAsia="宋体" w:cs="宋体"/>
                <w:color w:val="000000"/>
                <w:sz w:val="21"/>
              </w:rPr>
              <w:t xml:space="preserve">    产品运作：6月底到8月底资金面宽松带动收益率下行，专户产品采取提升久期、适度加杠杆的积极策略，票息打底的同时获取资本利得，产品业绩表现较为优异。9月市场回调后，及时止盈卖出利差压缩到极致的品种，降低产品实际久期，并果断降低组合仓位，同时增配非标资产、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7月逐渐蔓延全国的房地产停贷断供事件爆发后，我们利用专户产品期限较长、负债稳定等优势，积极建仓长久期优质资产，同时果断加仓，并利用资金成本低的优势提高了杠杆水平，抓住了4-5年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 xml:space="preserve"> 9月以来，我们适度防守，采用中性久期、中性杠杆之下的票息策略，通过止盈部分信用债，增配非标资产、货币类资产，以及适度降低组合久期来降低组合波动。</w:t>
            </w:r>
            <w:r>
              <w:rPr>
                <w:rFonts w:ascii="宋体" w:hAnsi="宋体" w:eastAsia="宋体" w:cs="宋体"/>
                <w:color w:val="000000"/>
                <w:sz w:val="21"/>
              </w:rPr>
              <w:br w:type="textWrapping"/>
            </w:r>
            <w:r>
              <w:rPr>
                <w:rFonts w:ascii="宋体" w:hAnsi="宋体" w:eastAsia="宋体" w:cs="宋体"/>
                <w:color w:val="000000"/>
                <w:sz w:val="21"/>
              </w:rPr>
              <w:t xml:space="preserve">    四季度展望：</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兴银理财金雪球稳利年年兴B款净值型理财产品2022年第三季度报告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展望四季度，我们认为国内债券市场交易主线是经济复苏进展与疫情、海外衰退对经济扰动的博弈，欧美加息控通胀、我国货币政策的边际变化、地产政策会对交易节奏形成扰动。具体来看，我们对四季度债券市场中性偏谨慎，认为债券市场在调整后存在一定交易机会。海外方面，目前美国非农、就业数据仍支持美联储继续鹰派加息，短期内汇率贬值压力使央行需要兼顾汇率风险，美债上行与国债利率持续倒挂制约国债利率下行空间。国内方面，大会后对于地产政策、疫情管控政策存在进一步松动的可能性，且新领导层确定也有利于出台更有力的稳增长政策。因此，我们对四季度市场保持中性偏谨慎观点。另一方面，随着冷冬到来欧洲能源危机加剧，海外经济衰退预期加大。但从中长期维度看，随着美联储加息逐步落地、欧美经济衰退拖累全球经济复苏，国内稳增长举措在四季度进入兑现期，预计四季度中期经济数据层面仍可能面临高点回落压力，债券品种经历调整后仍存在一定交易机会。</w:t>
            </w:r>
            <w:r>
              <w:rPr>
                <w:rFonts w:ascii="宋体" w:hAnsi="宋体" w:eastAsia="宋体" w:cs="宋体"/>
                <w:color w:val="000000"/>
                <w:sz w:val="21"/>
              </w:rPr>
              <w:br w:type="textWrapping"/>
            </w:r>
            <w:r>
              <w:rPr>
                <w:rFonts w:ascii="宋体" w:hAnsi="宋体" w:eastAsia="宋体" w:cs="宋体"/>
                <w:color w:val="000000"/>
                <w:sz w:val="21"/>
              </w:rPr>
              <w:t>二、2022年四季度投资策略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2、关注权益市场波动带来的公募基金赎回压力带来的信用债配置机会。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5、根据市场变化分步建仓，根据收益率曲线形态做波段交易。</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0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1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兴银理财金雪球稳利年年兴B款净值型理财产品2022年第三季度报告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13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50,897,050.00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22金川MTN001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50,554,600.00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22杭州湾新MTN001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50,149,750.00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21衡阳01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40,886,320.00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21蓉金01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30,893,250.00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20河钢01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30,636,510.00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30,548,430.00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19河钢02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30,452,250.00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22蜀道投资MTN003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30,324,270.00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7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兴银理财金雪球稳利年年兴B款净值型理财产品2022年第三季度报告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22金川MTN001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22浙国贸MTN003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22兖矿能源MTN002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051010100101231921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兴银理财金雪球稳利年年兴B款净值型理财产品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42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46A11BB"/>
    <w:rsid w:val="06FD6AA4"/>
    <w:rsid w:val="1667392A"/>
    <w:rsid w:val="685F6E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2022-10-21T03:24:00Z</dcterms:created>
  <dc:creator>cib</dc:creator>
  <cp:lastModifiedBy>cib</cp:lastModifiedBy>
  <dcterms:modified xsi:type="dcterms:W3CDTF">2022-10-21T10:10:04Z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