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兴银理财兴承恒享开放式1号净值型理财产品2022年第三季度报告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兴银理财兴承恒享开放式1号净值型理财产品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兴银理财兴承恒享开放式1号净值型理财产品2022年第三季度报告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兴银理财兴承恒享开放式1号净值型理财产品2022年第三季度报告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兴银理财兴承恒享开放式1号净值型理财产品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9D210010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Z7002021000092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3,127,059,521.48份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--/6.00%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兴银兴承恒享1号开放式A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9D21001A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1,490,758,585.54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兴银兴承恒享1号开放式B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9D21001B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1,636,300,935.94</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兴银理财兴承恒享开放式1号净值型理财产品2022年第三季度报告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产品9D21001A自成立日以来，累计净值增长率为-2.5630%，年化累计净值增长率为-1.8452%。</w:t>
            </w:r>
            <w:r>
              <w:rPr>
                <w:rFonts w:ascii="宋体" w:hAnsi="宋体" w:eastAsia="宋体" w:cs="宋体"/>
                <w:color w:val="000000"/>
                <w:sz w:val="21"/>
              </w:rPr>
              <w:br w:type="textWrapping"/>
            </w:r>
            <w:r>
              <w:rPr>
                <w:rFonts w:ascii="宋体" w:hAnsi="宋体" w:eastAsia="宋体" w:cs="宋体"/>
                <w:color w:val="000000"/>
                <w:sz w:val="21"/>
              </w:rPr>
              <w:t>产品9D21001B自成立日以来，累计净值增长率为-2.3000%，年化累计净值增长率为-1.6558%。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0.97574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0.97574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3,051,210,133.46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0.97437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0.97437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1,452,550,870.83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0.97700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0.97700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1,598,659,262.63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吕承应女士，北京大学统计学学士、经济学双学士，北京大学经济学硕士、新加坡国立大学金融工程硕士，2017年加入兴业银行，具有5年FOF/MOM投资研究经验。</w:t>
            </w:r>
            <w:r>
              <w:rPr>
                <w:rFonts w:ascii="宋体" w:hAnsi="宋体" w:eastAsia="宋体" w:cs="宋体"/>
                <w:color w:val="000000"/>
                <w:sz w:val="21"/>
              </w:rPr>
              <w:br w:type="textWrapping"/>
            </w:r>
            <w:r>
              <w:rPr>
                <w:rFonts w:ascii="宋体" w:hAnsi="宋体" w:eastAsia="宋体" w:cs="宋体"/>
                <w:color w:val="000000"/>
                <w:sz w:val="21"/>
              </w:rPr>
              <w:t xml:space="preserve">    吕雯丽女士，复旦大学财务管理学士、金融硕士，5年债券投资研究经验，曾任华安基金管理有限公司信用研究员，于2019年加入兴业银行资管，现任兴银理财债券投资经理，主要负责纯债和股债混合产品投资管理工作。追求持续稳定回报，在保证流动性和安全性的前提下，兼顾收益性，擅长通过基本面研究、信用研究和主动管理获取超额收益。</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整体是宏观因素多且复杂的一年。在美债利率大幅上行、俄乌冲突长期化、全国各地尤其是华东地区疫情散发的事件下，前4个月市场大幅下跌，5-6月在复工复产后，随着企业盈利预期好转、流动性宽松的大背景下，市场迎来一轮反弹，其中边际变化更明显的新兴产业反弹更猛。三季度以来美债利率大幅上行、国内地产疫情有所恶化、俄乌冲突烈度提高等因素进一步压制，市场再度震荡下行。其中由于科技领域前期反弹较多，下跌幅度也较大。</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兴银理财兴承恒享开放式1号净值型理财产品2022年第三季度报告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76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ascii="宋体" w:hAnsi="宋体" w:eastAsia="宋体" w:cs="宋体"/>
                <w:color w:val="000000"/>
                <w:sz w:val="21"/>
              </w:rPr>
              <w:t xml:space="preserve">    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 xml:space="preserve">    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ascii="宋体" w:hAnsi="宋体" w:eastAsia="宋体" w:cs="宋体"/>
                <w:color w:val="000000"/>
                <w:sz w:val="21"/>
              </w:rPr>
              <w:t xml:space="preserve">    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65.38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29.53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11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兴银理财兴承恒享开放式1号净值型理财产品2022年第三季度报告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4"/>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兴业财富-兴合集合资产管理计划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103,375,435.51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21申证03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103,019,600.00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21乌城01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102,175,900.00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21财信02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101,711,400.00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安信稳健增利A（009100.OF）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86,231,206.62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21苏沙钢MTN003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81,210,480.00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22工行二级资本债03A</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79,726,000.00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22农发清发04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79,603,120.00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21苏国信MTN003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72,098,530.00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21越秀金融MTN003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51,517,500.00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2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兴银理财兴承恒享开放式1号净值型理财产品2022年第三季度报告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21南航集MTN001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21苏沙钢MTN002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21越秀金融MTN003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22南航股MTN001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22岳阳城投MTN001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051010100101198641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兴银理财兴承恒享开放式1号净值型理财产品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30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464C7B16"/>
    <w:rsid w:val="77C962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2022-10-21T08:30:00Z</dcterms:created>
  <dc:creator>cib</dc:creator>
  <cp:lastModifiedBy>cib</cp:lastModifiedBy>
  <dcterms:modified xsi:type="dcterms:W3CDTF">2022-10-21T10:23:14Z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