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wAfter w:w="40" w:type="dxa"/>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兴银理财天天万利宝稳利8号M款净值型理财产品2022年第三季度报告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兴银理财天天万利宝稳利8号M款净值型理财产品</w:t>
            </w:r>
            <w:r>
              <w:rPr>
                <w:rFonts w:ascii="宋体" w:hAnsi="宋体" w:eastAsia="宋体" w:cs="宋体"/>
                <w:b/>
                <w:color w:val="000000"/>
                <w:sz w:val="32"/>
              </w:rPr>
              <w:br w:type="textWrapping"/>
            </w:r>
            <w:r>
              <w:rPr>
                <w:rFonts w:ascii="宋体" w:hAnsi="宋体" w:eastAsia="宋体" w:cs="宋体"/>
                <w:b/>
                <w:color w:val="000000"/>
                <w:sz w:val="32"/>
              </w:rPr>
              <w:t>2022年第三季度报告</w:t>
            </w:r>
          </w:p>
        </w:tc>
        <w:tc>
          <w:p>
            <w:pPr>
              <w:pStyle w:val="4"/>
            </w:pPr>
          </w:p>
        </w:tc>
      </w:tr>
      <w:tr>
        <w:tblPrEx>
          <w:tblCellMar>
            <w:top w:w="0" w:type="dxa"/>
            <w:left w:w="10" w:type="dxa"/>
            <w:bottom w:w="0" w:type="dxa"/>
            <w:right w:w="10" w:type="dxa"/>
          </w:tblCellMar>
        </w:tblPrEx>
        <w:trPr>
          <w:gridAfter w:val="4"/>
          <w:wAfter w:w="40" w:type="dxa"/>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报告送出日期：2022年10月26日</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兴银理财天天万利宝稳利8号M款净值型理财产品2022年第三季度报告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wAfter w:w="40" w:type="dxa"/>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兴银理财天天万利宝稳利8号M款净值型理财产品2022年第三季度报告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兴银理财天天万利宝稳利8号M款净值型理财产品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9K209630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Z7002021000214</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1,022,347,260.89份</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3.75%--4.25%/4.25%</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R2</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wAfter w:w="40" w:type="dxa"/>
          <w:trHeight w:val="12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稳利恒盈8号M款 6个月B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9K20963B</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1,022,347,260.89</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17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兴银理财天天万利宝稳利8号M款净值型理财产品2022年第三季度报告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产品9K20963B自成立日以来，累计净值增长率为2.6290%，年化累计净值增长率为3.4768%。</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9K209630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2022年9月30日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1.00627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1.02629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1,028,754,256.74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9K20963B</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2022年9月30日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1.00627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1.02629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1,028,754,256.74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560" w:hRule="atLeast"/>
        </w:trPr>
        <w:tc>
          <w:p>
            <w:pPr>
              <w:pStyle w:val="4"/>
            </w:pPr>
          </w:p>
        </w:tc>
        <w:tc>
          <w:tcPr>
            <w:gridSpan w:val="15"/>
            <w:tcMar>
              <w:top w:w="0" w:type="dxa"/>
              <w:left w:w="0" w:type="dxa"/>
              <w:bottom w:w="0" w:type="dxa"/>
              <w:right w:w="0" w:type="dxa"/>
            </w:tcMar>
            <w:vAlign w:val="top"/>
          </w:tcPr>
          <w:p>
            <w:pPr>
              <w:spacing w:before="0" w:after="0" w:line="320" w:lineRule="exact"/>
              <w:ind w:firstLine="420" w:firstLineChars="200"/>
              <w:jc w:val="left"/>
            </w:pPr>
            <w:r>
              <w:rPr>
                <w:rFonts w:ascii="宋体" w:hAnsi="宋体" w:eastAsia="宋体" w:cs="宋体"/>
                <w:color w:val="000000"/>
                <w:sz w:val="21"/>
              </w:rPr>
              <w:t>金晶女士，现任兴银理财专户投资部负责人，专户投资总监。毕业于对外经济贸易大学金融学硕士，拥有15年固定收益投资经验，于2007年加入兴业银行，历任兴业银行资金营运中心债券交易员、兴业银行资产管理部债券投资经理，投资团队主管。目前管理包括“稳利”系列开放式产品、多家大型企金专户定制产品，产品管理规模近800亿，得到客户高度认可。具有丰富的固定收益产品管理经验，风格稳健，对宏观及利率走势有较为深入的研判，擅长根据市场研判灵活运用多种投资策略，业绩优异。</w:t>
            </w:r>
          </w:p>
        </w:tc>
        <w:tc>
          <w:tcPr>
            <w:gridSpan w:val="4"/>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532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一、市场观点</w:t>
            </w:r>
            <w:r>
              <w:rPr>
                <w:rFonts w:ascii="宋体" w:hAnsi="宋体" w:eastAsia="宋体" w:cs="宋体"/>
                <w:color w:val="000000"/>
                <w:sz w:val="21"/>
              </w:rPr>
              <w:br w:type="textWrapping"/>
            </w:r>
            <w:r>
              <w:rPr>
                <w:rFonts w:ascii="宋体" w:hAnsi="宋体" w:eastAsia="宋体" w:cs="宋体"/>
                <w:color w:val="000000"/>
                <w:sz w:val="21"/>
              </w:rPr>
              <w:t xml:space="preserve">    三季度市场回顾：2022年第三季度债券收益率整体呈现先大幅下行后震荡抬升的“W型”走势，长端下行明显，而随着资金收敛短端收益率整体低位震荡，期限利差进一步压缩。半年末到7月底受资金面整体宽松、逐渐蔓延全国的房地产停贷断供事件、美国众议院议长佩洛西窜访我国台湾风险事件影响，债券收益率保持震荡下行趋势。10年国债活跃券收益率由月初的2.83%下行10bp到月末的2.73%，3年国债活跃券收益率由月初的2.43%下行10bp到月末的2.23%。</w:t>
            </w:r>
            <w:r>
              <w:rPr>
                <w:rFonts w:ascii="宋体" w:hAnsi="宋体" w:eastAsia="宋体" w:cs="宋体"/>
                <w:color w:val="000000"/>
                <w:sz w:val="21"/>
              </w:rPr>
              <w:br w:type="textWrapping"/>
            </w:r>
            <w:r>
              <w:rPr>
                <w:rFonts w:ascii="宋体" w:hAnsi="宋体" w:eastAsia="宋体" w:cs="宋体"/>
                <w:color w:val="000000"/>
                <w:sz w:val="21"/>
              </w:rPr>
              <w:t xml:space="preserve">    7月到8月底，市场利率延续下行。7月社融和新增贷款数据大幅低于预期，8月15日央行超预期下调MLF和公开市场逆回购利率10BP，债市做多情绪点燃，降息当天10年国债活跃券收益率大幅下行8.3bp至2.65%，10年期国债主力连续合约一度大涨0.91%，创两年多新高。当月，1年期国债收益率下行幅度在10bp左右，2-3年AA+信用主体收益率下行20bp左右，4-5年AAA高等级信用债收益率多数下行20-30bp。市场资金极度宽松，“资产荒”进一步加剧，债券市场收益率整体下行至历史低点。</w:t>
            </w:r>
            <w:r>
              <w:rPr>
                <w:rFonts w:ascii="宋体" w:hAnsi="宋体" w:eastAsia="宋体" w:cs="宋体"/>
                <w:color w:val="000000"/>
                <w:sz w:val="21"/>
              </w:rPr>
              <w:br w:type="textWrapping"/>
            </w:r>
            <w:r>
              <w:rPr>
                <w:rFonts w:ascii="宋体" w:hAnsi="宋体" w:eastAsia="宋体" w:cs="宋体"/>
                <w:color w:val="000000"/>
                <w:sz w:val="21"/>
              </w:rPr>
              <w:t xml:space="preserve">    8月到9月底，郑州开展大干30天保交楼专项行动，宁波、苏州、青岛、济南等地放松楼市限购政策，且部分民企地产发债获得中债增全额担保，地产融资环境向好。国内疫情有所缓和，基建托底发力。稳增长政策、地产政策力度加大影响债券市场情绪。另一方面，资金价格整体呈现波动上行趋势，使债券市场整体小幅走弱。海外方面，美联储激进加息背景下，美债利率大幅上行，人民币汇率承压对债市形成制约。在多重利空扰动下债券市场整体收益率曲线上移，短端利率上行幅度超过长端利率，曲线呈现平坦化趋势。10年国债活跃券收益率由月初的</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兴银理财天天万利宝稳利8号M款净值型理财产品2022年第三季度报告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96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2.62%上行14bp到月末的2.76%，3年国债活跃券收益率由月初的2.18%上行15bp到月末的2.33%。4-5年银行二级资本债品种普遍上行5-10bp。</w:t>
            </w:r>
            <w:r>
              <w:rPr>
                <w:rFonts w:ascii="宋体" w:hAnsi="宋体" w:eastAsia="宋体" w:cs="宋体"/>
                <w:color w:val="000000"/>
                <w:sz w:val="21"/>
              </w:rPr>
              <w:br w:type="textWrapping"/>
            </w:r>
            <w:r>
              <w:rPr>
                <w:rFonts w:ascii="宋体" w:hAnsi="宋体" w:eastAsia="宋体" w:cs="宋体"/>
                <w:color w:val="000000"/>
                <w:sz w:val="21"/>
              </w:rPr>
              <w:t xml:space="preserve">    产品运作：6月底到8月底资金面宽松带动收益率下行，专户产品采取提升久期、适度加杠杆的积极策略，票息打底的同时获取资本利得，产品业绩表现较为优异。9月市场回调后，及时止盈卖出利差压缩到极致的品种，降低产品实际久期，并果断降低组合仓位，同时增配非标资产、货币市场工具等低波动资产和利率互换工具，降低产品波动幅度。</w:t>
            </w:r>
            <w:r>
              <w:rPr>
                <w:rFonts w:ascii="宋体" w:hAnsi="宋体" w:eastAsia="宋体" w:cs="宋体"/>
                <w:color w:val="000000"/>
                <w:sz w:val="21"/>
              </w:rPr>
              <w:br w:type="textWrapping"/>
            </w:r>
            <w:r>
              <w:rPr>
                <w:rFonts w:ascii="宋体" w:hAnsi="宋体" w:eastAsia="宋体" w:cs="宋体"/>
                <w:color w:val="000000"/>
                <w:sz w:val="21"/>
              </w:rPr>
              <w:t xml:space="preserve">    7月逐渐蔓延全国的房地产停贷断供事件爆发后，我们利用专户产品期限较长、负债稳定等优势，积极建仓长久期优质资产，同时果断加仓，并利用资金成本低的优势提高了杠杆水平，抓住了4-5年高等级中长久期信用债、存单和金融债的行情，赚取了稳定票息收益的同时，获取债券价格上涨的资本利得。</w:t>
            </w:r>
            <w:r>
              <w:rPr>
                <w:rFonts w:ascii="宋体" w:hAnsi="宋体" w:eastAsia="宋体" w:cs="宋体"/>
                <w:color w:val="000000"/>
                <w:sz w:val="21"/>
              </w:rPr>
              <w:br w:type="textWrapping"/>
            </w:r>
            <w:r>
              <w:rPr>
                <w:rFonts w:ascii="宋体" w:hAnsi="宋体" w:eastAsia="宋体" w:cs="宋体"/>
                <w:color w:val="000000"/>
                <w:sz w:val="21"/>
              </w:rPr>
              <w:t xml:space="preserve">   </w:t>
            </w:r>
            <w:r>
              <w:rPr>
                <w:rFonts w:hint="eastAsia" w:ascii="宋体" w:hAnsi="宋体" w:eastAsia="宋体" w:cs="宋体"/>
                <w:color w:val="000000"/>
                <w:sz w:val="21"/>
                <w:lang w:val="en-US" w:eastAsia="zh-CN"/>
              </w:rPr>
              <w:t xml:space="preserve"> </w:t>
            </w:r>
            <w:r>
              <w:rPr>
                <w:rFonts w:ascii="宋体" w:hAnsi="宋体" w:eastAsia="宋体" w:cs="宋体"/>
                <w:color w:val="000000"/>
                <w:sz w:val="21"/>
              </w:rPr>
              <w:t>9月以来，我们适度防守，采用中性久期、中性杠杆之下的票息策略，通过止盈部分信用债，增配非标资产、货币类资产，以及适度降低组合久期来降低组合波动。</w:t>
            </w:r>
            <w:r>
              <w:rPr>
                <w:rFonts w:ascii="宋体" w:hAnsi="宋体" w:eastAsia="宋体" w:cs="宋体"/>
                <w:color w:val="000000"/>
                <w:sz w:val="21"/>
              </w:rPr>
              <w:br w:type="textWrapping"/>
            </w:r>
            <w:r>
              <w:rPr>
                <w:rFonts w:ascii="宋体" w:hAnsi="宋体" w:eastAsia="宋体" w:cs="宋体"/>
                <w:color w:val="000000"/>
                <w:sz w:val="21"/>
              </w:rPr>
              <w:t xml:space="preserve">    四季度展望：</w:t>
            </w:r>
            <w:r>
              <w:rPr>
                <w:rFonts w:ascii="宋体" w:hAnsi="宋体" w:eastAsia="宋体" w:cs="宋体"/>
                <w:color w:val="000000"/>
                <w:sz w:val="21"/>
              </w:rPr>
              <w:br w:type="textWrapping"/>
            </w:r>
            <w:r>
              <w:rPr>
                <w:rFonts w:ascii="宋体" w:hAnsi="宋体" w:eastAsia="宋体" w:cs="宋体"/>
                <w:color w:val="000000"/>
                <w:sz w:val="21"/>
              </w:rPr>
              <w:t xml:space="preserve">    展望四季度，我们认为国内债券市场交易主线是经济复苏进展与疫情、海外衰退对经济扰动的博弈，欧美加息控通胀、我国货币政策的边际变化、地产政策会对交易节奏形成扰动。具体来看，我们对四季度债券市场中性偏谨慎，认为债券市场在调整后存在一定交易机会。海外方面，目前美国非农、就业数据仍支持美联储继续鹰派加息，短期内汇率贬值压力使央行需要兼顾汇率风险，美债上行与国债利率持续倒挂制约国债利率下行空间。国内方面，大会后对于地产政策、疫情管控政策存在进一步松动的可能性，且新领导层确定也有利于出台更有力的稳增长政策。因此，我们对四季度市场保持中性偏谨慎观点。另一方面，随着冷冬到来欧洲能源危机加剧，海外经济衰退预期加大。但从中长期维度看，随着美联储加息逐步落地、欧美经济衰退拖累全球经济复苏，国内稳增长举措在四季度进入兑现期，预计四季度中期经济数据层面仍可能面临高点回落压力，债券品种经历调整后仍存在一定交易机会。</w:t>
            </w:r>
            <w:r>
              <w:rPr>
                <w:rFonts w:ascii="宋体" w:hAnsi="宋体" w:eastAsia="宋体" w:cs="宋体"/>
                <w:color w:val="000000"/>
                <w:sz w:val="21"/>
              </w:rPr>
              <w:br w:type="textWrapping"/>
            </w:r>
            <w:r>
              <w:rPr>
                <w:rFonts w:ascii="宋体" w:hAnsi="宋体" w:eastAsia="宋体" w:cs="宋体"/>
                <w:color w:val="000000"/>
                <w:sz w:val="21"/>
              </w:rPr>
              <w:t>二、2022年四季度投资策略</w:t>
            </w:r>
            <w:r>
              <w:rPr>
                <w:rFonts w:ascii="宋体" w:hAnsi="宋体" w:eastAsia="宋体" w:cs="宋体"/>
                <w:color w:val="000000"/>
                <w:sz w:val="21"/>
              </w:rPr>
              <w:br w:type="textWrapping"/>
            </w:r>
            <w:r>
              <w:rPr>
                <w:rFonts w:ascii="宋体" w:hAnsi="宋体" w:eastAsia="宋体" w:cs="宋体"/>
                <w:color w:val="000000"/>
                <w:sz w:val="21"/>
              </w:rPr>
              <w:t xml:space="preserve">    交易策略来看，策略上产品将继续保持稳健的投资风格：</w:t>
            </w:r>
            <w:r>
              <w:rPr>
                <w:rFonts w:ascii="宋体" w:hAnsi="宋体" w:eastAsia="宋体" w:cs="宋体"/>
                <w:color w:val="000000"/>
                <w:sz w:val="21"/>
              </w:rPr>
              <w:br w:type="textWrapping"/>
            </w:r>
            <w:r>
              <w:rPr>
                <w:rFonts w:ascii="宋体" w:hAnsi="宋体" w:eastAsia="宋体" w:cs="宋体"/>
                <w:color w:val="000000"/>
                <w:sz w:val="21"/>
              </w:rPr>
              <w:t xml:space="preserve">    1、发挥票息策略优势，同时维持中性偏积极的杠杆水平与中性的组合久期。</w:t>
            </w:r>
            <w:r>
              <w:rPr>
                <w:rFonts w:ascii="宋体" w:hAnsi="宋体" w:eastAsia="宋体" w:cs="宋体"/>
                <w:color w:val="000000"/>
                <w:sz w:val="21"/>
              </w:rPr>
              <w:br w:type="textWrapping"/>
            </w:r>
            <w:r>
              <w:rPr>
                <w:rFonts w:ascii="宋体" w:hAnsi="宋体" w:eastAsia="宋体" w:cs="宋体"/>
                <w:color w:val="000000"/>
                <w:sz w:val="21"/>
              </w:rPr>
              <w:t xml:space="preserve">    2、关注权益市场波动带来的公募基金赎回压力带来的信用债配置机会。</w:t>
            </w:r>
            <w:r>
              <w:rPr>
                <w:rFonts w:ascii="宋体" w:hAnsi="宋体" w:eastAsia="宋体" w:cs="宋体"/>
                <w:color w:val="000000"/>
                <w:sz w:val="21"/>
              </w:rPr>
              <w:br w:type="textWrapping"/>
            </w:r>
            <w:r>
              <w:rPr>
                <w:rFonts w:ascii="宋体" w:hAnsi="宋体" w:eastAsia="宋体" w:cs="宋体"/>
                <w:color w:val="000000"/>
                <w:sz w:val="21"/>
              </w:rPr>
              <w:t xml:space="preserve">    3、把握行业利差、区域利差变化的收益挖掘机会和利率反弹时的配置机会。</w:t>
            </w:r>
            <w:r>
              <w:rPr>
                <w:rFonts w:ascii="宋体" w:hAnsi="宋体" w:eastAsia="宋体" w:cs="宋体"/>
                <w:color w:val="000000"/>
                <w:sz w:val="21"/>
              </w:rPr>
              <w:br w:type="textWrapping"/>
            </w:r>
            <w:r>
              <w:rPr>
                <w:rFonts w:ascii="宋体" w:hAnsi="宋体" w:eastAsia="宋体" w:cs="宋体"/>
                <w:color w:val="000000"/>
                <w:sz w:val="21"/>
              </w:rPr>
              <w:t xml:space="preserve">    4、关注货币政策边际变化、稳增长措施落地、新冠疫情点状冲击带来的交易机会。</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r>
              <w:rPr>
                <w:rFonts w:ascii="宋体" w:hAnsi="宋体" w:eastAsia="宋体" w:cs="宋体"/>
                <w:color w:val="000000"/>
                <w:sz w:val="21"/>
              </w:rPr>
              <w:t>5、根据市场变化分步建仓，根据收益率曲线形态做波段交易。</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wAfter w:w="20" w:type="dxa"/>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4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2.41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97.59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9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兴银理财天天万利宝稳利8号M款净值型理财产品2022年第三季度报告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4"/>
          </w:tcPr>
          <w:p>
            <w:pPr>
              <w:pStyle w:val="4"/>
            </w:pPr>
          </w:p>
        </w:tc>
        <w:tc>
          <w:p>
            <w:pPr>
              <w:pStyle w:val="4"/>
            </w:pPr>
          </w:p>
        </w:tc>
      </w:tr>
      <w:tr>
        <w:tblPrEx>
          <w:tblCellMar>
            <w:top w:w="0" w:type="dxa"/>
            <w:left w:w="10" w:type="dxa"/>
            <w:bottom w:w="0" w:type="dxa"/>
            <w:right w:w="10" w:type="dxa"/>
          </w:tblCellMar>
        </w:tblPrEx>
        <w:trPr>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4"/>
          </w:tcPr>
          <w:p>
            <w:pPr>
              <w:pStyle w:val="4"/>
            </w:pPr>
          </w:p>
        </w:tc>
        <w:tc>
          <w:p>
            <w:pPr>
              <w:pStyle w:val="4"/>
            </w:pPr>
          </w:p>
        </w:tc>
      </w:tr>
      <w:tr>
        <w:tblPrEx>
          <w:tblCellMar>
            <w:top w:w="0" w:type="dxa"/>
            <w:left w:w="10" w:type="dxa"/>
            <w:bottom w:w="0" w:type="dxa"/>
            <w:right w:w="10" w:type="dxa"/>
          </w:tblCellMar>
        </w:tblPrEx>
        <w:trPr>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w:t>
            </w:r>
            <w:r>
              <w:rPr>
                <w:rFonts w:hint="eastAsia" w:ascii="宋体" w:hAnsi="宋体" w:eastAsia="宋体" w:cs="宋体"/>
                <w:color w:val="000000"/>
                <w:sz w:val="21"/>
                <w:lang w:val="en-US" w:eastAsia="zh-CN"/>
              </w:rPr>
              <w:t xml:space="preserve"> </w:t>
            </w:r>
            <w:r>
              <w:rPr>
                <w:rFonts w:ascii="宋体" w:hAnsi="宋体" w:eastAsia="宋体" w:cs="宋体"/>
                <w:color w:val="000000"/>
                <w:sz w:val="21"/>
              </w:rPr>
              <w:t>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bookmarkStart w:id="7" w:name="_GoBack"/>
            <w:bookmarkEnd w:id="7"/>
            <w:r>
              <w:rPr>
                <w:rFonts w:ascii="宋体" w:hAnsi="宋体" w:eastAsia="宋体" w:cs="宋体"/>
                <w:color w:val="000000"/>
                <w:sz w:val="21"/>
              </w:rPr>
              <w:t>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4"/>
          </w:tcPr>
          <w:p>
            <w:pPr>
              <w:pStyle w:val="4"/>
            </w:pPr>
          </w:p>
        </w:tc>
        <w:tc>
          <w:p>
            <w:pPr>
              <w:pStyle w:val="4"/>
            </w:pPr>
          </w:p>
        </w:tc>
      </w:tr>
      <w:tr>
        <w:tblPrEx>
          <w:tblCellMar>
            <w:top w:w="0" w:type="dxa"/>
            <w:left w:w="10" w:type="dxa"/>
            <w:bottom w:w="0" w:type="dxa"/>
            <w:right w:w="10" w:type="dxa"/>
          </w:tblCellMar>
        </w:tblPrEx>
        <w:trPr>
          <w:trHeight w:val="54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66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21农发清发03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70,413,280.00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6.84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22CSFD27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69,993,420.00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6.80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22CSFD16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69,993,280.00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6.80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22CSFD57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69,992,510.00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6.80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22CSFD58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69,992,510.00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6.80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22CSFD56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69,992,440.00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6.80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20锡山01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55,392,150.00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5.38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21岳阳城投PPN001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50,873,100.00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20常投01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45,345,150.00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4.41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20晋电03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40,374,480.00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3.92</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224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兴银理财天天万利宝稳利8号M款净值型理财产品2022年第三季度报告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9K209630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21新海连MTN001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051010100101322768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兴银理财天天万利宝稳利8号M款净值型理财产品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2022年10月26日</w:t>
            </w:r>
          </w:p>
        </w:tc>
        <w:tc>
          <w:tcPr>
            <w:gridSpan w:val="4"/>
          </w:tcPr>
          <w:p>
            <w:pPr>
              <w:pStyle w:val="4"/>
            </w:pPr>
          </w:p>
        </w:tc>
        <w:tc>
          <w:p>
            <w:pPr>
              <w:pStyle w:val="4"/>
            </w:pPr>
          </w:p>
        </w:tc>
      </w:tr>
      <w:tr>
        <w:tblPrEx>
          <w:tblCellMar>
            <w:top w:w="0" w:type="dxa"/>
            <w:left w:w="10" w:type="dxa"/>
            <w:bottom w:w="0" w:type="dxa"/>
            <w:right w:w="10" w:type="dxa"/>
          </w:tblCellMar>
        </w:tblPrEx>
        <w:trPr>
          <w:trHeight w:val="54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bl>
    <w:p/>
    <w:sectPr>
      <w:pgSz w:w="11900" w:h="16840"/>
      <w:pgMar w:top="600" w:right="560" w:bottom="240" w:left="600" w:header="0" w:footer="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800"/>
  <w:compat>
    <w:useFELayout/>
    <w:splitPgBreakAndParaMark/>
    <w:compatSetting w:name="compatibilityMode" w:uri="http://schemas.microsoft.com/office/word" w:val="12"/>
  </w:compat>
  <w:rsids>
    <w:rsidRoot w:val="00000000"/>
    <w:rsid w:val="09681E00"/>
    <w:rsid w:val="0A1C3AD0"/>
    <w:rsid w:val="261450ED"/>
    <w:rsid w:val="4B3E08A9"/>
    <w:rsid w:val="4FBF248B"/>
    <w:rsid w:val="59430EB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2022-10-21T05:59:00Z</dcterms:created>
  <dc:creator>cib</dc:creator>
  <cp:lastModifiedBy>cib</cp:lastModifiedBy>
  <dcterms:modified xsi:type="dcterms:W3CDTF">2022-10-21T11:09:40Z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