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兴银理财财智人生灵动1号A款净值型理财产品2022年第三季度报告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兴银理财财智人生灵动1号A款净值型理财产品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兴银理财财智人生灵动1号A款净值型理财产品2022年第三季度报告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4"/>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兴银理财财智人生灵动1号A款净值型理财产品2022年第三季度报告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兴银理财财智人生灵动1号A款净值型理财产品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9K211010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Z7002020000104</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347,937,428.67份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-/4.50%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产品9K211010自成立日以来，累计净值增长率为10.3500%，年化累计净值增长率为4.7639%。</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9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3" w:name="JR_PAGE_ANCHOR_0_4"/>
            <w:bookmarkEnd w:id="3"/>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兴银理财财智人生灵动1号A款净值型理财产品2022年第三季度报告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1.00318</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1.10350</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349,043,782.98</w:t>
            </w: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9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7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900" w:hRule="atLeast"/>
        </w:trPr>
        <w:tc>
          <w:p>
            <w:pPr>
              <w:pStyle w:val="4"/>
            </w:pPr>
          </w:p>
        </w:tc>
        <w:tc>
          <w:tcPr>
            <w:gridSpan w:val="19"/>
            <w:tcMar>
              <w:top w:w="0" w:type="dxa"/>
              <w:left w:w="0" w:type="dxa"/>
              <w:bottom w:w="0" w:type="dxa"/>
              <w:right w:w="0" w:type="dxa"/>
            </w:tcMar>
            <w:vAlign w:val="top"/>
          </w:tcPr>
          <w:p>
            <w:pPr>
              <w:spacing w:before="0" w:after="0" w:line="320" w:lineRule="exact"/>
              <w:ind w:firstLine="420" w:firstLineChars="200"/>
              <w:jc w:val="left"/>
            </w:pPr>
            <w:r>
              <w:rPr>
                <w:rFonts w:ascii="宋体" w:hAnsi="宋体" w:eastAsia="宋体" w:cs="宋体"/>
                <w:color w:val="000000"/>
                <w:sz w:val="21"/>
              </w:rPr>
              <w:t>本产品为95%固收+10%衍生品套利策略。产品目前久期1.9年，杠杆115%。目前债券整体收益率处于低位，从三季度到现在下行的空间并不大。展望后市，在没有降准等利好消息公布之前，利率大概率处于一个震荡状态，反而需要警惕经济在地产回暖下的超预期反弹。</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0" w:hRule="exact"/>
        </w:trPr>
        <w:tc>
          <w:p>
            <w:pPr>
              <w:pStyle w:val="4"/>
            </w:pPr>
          </w:p>
        </w:tc>
        <w:tc>
          <w:p>
            <w:pPr>
              <w:pStyle w:val="4"/>
            </w:pPr>
          </w:p>
        </w:tc>
        <w:tc>
          <w:tcPr>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88.52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88.52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8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4"/>
          </w:tcPr>
          <w:p>
            <w:pPr>
              <w:pStyle w:val="4"/>
            </w:pPr>
          </w:p>
        </w:tc>
        <w:tc>
          <w:tcPr>
            <w:gridSpan w:val="2"/>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4" w:name="JR_PAGE_ANCHOR_0_5"/>
            <w:bookmarkEnd w:id="4"/>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兴银理财财智人生灵动1号A款净值型理财产品2022年第三季度报告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p>
            <w:pPr>
              <w:pStyle w:val="4"/>
            </w:pPr>
          </w:p>
        </w:tc>
      </w:tr>
      <w:tr>
        <w:tblPrEx>
          <w:tblCellMar>
            <w:top w:w="0" w:type="dxa"/>
            <w:left w:w="10" w:type="dxa"/>
            <w:bottom w:w="0" w:type="dxa"/>
            <w:right w:w="10" w:type="dxa"/>
          </w:tblCellMar>
        </w:tblPrEx>
        <w:trPr>
          <w:gridAfter w:val="4"/>
          <w:wAfter w:w="40" w:type="dxa"/>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6" w:name="_GoBack"/>
            <w:bookmarkEnd w:id="6"/>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50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gridAfter w:val="4"/>
          <w:wAfter w:w="40" w:type="dxa"/>
          <w:trHeight w:val="664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徐租18A2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25,147,800.00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7.20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21中煤能源MTN001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20,675,220.00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21义乌城投PPN002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20,298,920.00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20,000,150.00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22海曙广聚SCP004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19,962,560.00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20珠华01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15,217,620.00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22焦煤Y1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15,189,585.00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22华股01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15,149,985.00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21光证G1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14,745,209.50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兴业期货-财智人生灵动1号单一资产管理计划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12,706,212.63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3.64</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388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6"/>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兴银理财财智人生灵动1号A款净值型理财产品2022年第三季度报告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54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9K211010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20连云金控MTN001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9K211010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21海沧投资MTN001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9K211010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21淮安水利PPN001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9K211010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21鲁能源MTN007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9K211010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21陕有色MTN001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9K211010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21漳州交运PPN003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9K211010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22宿迁交通MTN001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9K211010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22天津港SCP001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21"/>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051010100101068813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兴银理财财智人生灵动1号A款净值型理财产品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p>
            <w:pPr>
              <w:pStyle w:val="4"/>
            </w:pPr>
          </w:p>
        </w:tc>
      </w:tr>
      <w:tr>
        <w:tblPrEx>
          <w:tblCellMar>
            <w:top w:w="0" w:type="dxa"/>
            <w:left w:w="10" w:type="dxa"/>
            <w:bottom w:w="0" w:type="dxa"/>
            <w:right w:w="10" w:type="dxa"/>
          </w:tblCellMar>
        </w:tblPrEx>
        <w:trPr>
          <w:trHeight w:val="128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6"/>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08CE788B"/>
    <w:rsid w:val="130914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2022-10-21T05:59:00Z</dcterms:created>
  <dc:creator>cib</dc:creator>
  <cp:lastModifiedBy>cib</cp:lastModifiedBy>
  <dcterms:modified xsi:type="dcterms:W3CDTF">2022-10-21T11:10:20Z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