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兴银理财灵动全天候1号净值型理财产品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兴银理财灵动全天候1号净值型理财产品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9K212051</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Z7002020000154</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1,791,336,557.71份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3.00%--6.50%/--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灵动年年升1号A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9K212151</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1,441,259,250.27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灵动年年升1号B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9K212251</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350,077,307.44</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产品9K212151自成立日以来，累计净值增长率为5.2520%，年化累计净值增长率为2.5560%。</w:t>
            </w:r>
            <w:r>
              <w:rPr>
                <w:rFonts w:ascii="宋体" w:hAnsi="宋体" w:eastAsia="宋体" w:cs="宋体"/>
                <w:color w:val="000000"/>
                <w:sz w:val="21"/>
              </w:rPr>
              <w:br w:type="textWrapping"/>
            </w:r>
            <w:r>
              <w:rPr>
                <w:rFonts w:ascii="宋体" w:hAnsi="宋体" w:eastAsia="宋体" w:cs="宋体"/>
                <w:color w:val="000000"/>
                <w:sz w:val="21"/>
              </w:rPr>
              <w:t>产品9K212251自成立日以来，累计净值增长率为5.4700%，年化累计净值增长率为2.6621%。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9K212051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1.00832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1.05296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1,806,235,279.59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9K212151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1.05252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1,452,923,955.56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9K212251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1.05470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353,311,324.03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hint="eastAsia" w:ascii="宋体" w:hAnsi="宋体" w:eastAsia="宋体" w:cs="宋体"/>
                <w:color w:val="000000"/>
                <w:sz w:val="21"/>
                <w:lang w:val="en-US" w:eastAsia="zh-CN"/>
              </w:rPr>
              <w:t xml:space="preserve">    </w:t>
            </w:r>
            <w:r>
              <w:rPr>
                <w:rFonts w:ascii="宋体" w:hAnsi="宋体" w:eastAsia="宋体" w:cs="宋体"/>
                <w:color w:val="000000"/>
                <w:sz w:val="21"/>
              </w:rPr>
              <w:t>2022年第三季度，我们迎来了降息、美联储持续加息、外需走弱、俄乌战争持续的局面。权益市场方面，虽然货币政策依然持续友善，但内外部需求的走弱，美元加息周期的压力，导致市场出现震荡下行的走势。债市则在降息后出现价格上行，但随着美联储加息的持续，RMB贬值压力之下也出现了回调，体现债市对后期货币政策的不乐观预期。本报告期内，本组合积极调整债券持仓，利用利率衍生品对冲久期风险，此外对权益资产进行积极调整行业结构。本组合净值在本报告期内相对表现较好。</w:t>
            </w:r>
            <w:r>
              <w:rPr>
                <w:rFonts w:ascii="宋体" w:hAnsi="宋体" w:eastAsia="宋体" w:cs="宋体"/>
                <w:color w:val="000000"/>
                <w:sz w:val="21"/>
              </w:rPr>
              <w:br w:type="textWrapping"/>
            </w:r>
            <w:r>
              <w:rPr>
                <w:rFonts w:ascii="宋体" w:hAnsi="宋体" w:eastAsia="宋体" w:cs="宋体"/>
                <w:color w:val="000000"/>
                <w:sz w:val="21"/>
              </w:rPr>
              <w:t xml:space="preserve">    展望四季度，外部美联储会继续收紧货币，但美债利率逐步见顶，发达国家外需可能受损，俄乌战争边际影响降低但对发达国家的供给和需求的伤害还会继续存在。国内，政策可能在两会后会有进一步托底经济的政策出台，且国内货币财政政策可能会持续呵护经济发展。料权益市场可能探底后形成积极乐观的走势，债市收益率可能会震荡中走高，反应经济向好预期。本组合将继续积极主动管理好大类资产的配置策略并精细化选择类属资产。</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15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兴银理财灵动全天候1号净值型理财产品2022年第三季度报告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8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40.74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27.85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17.64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中国光大银行郑州分行大额存单20210330001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499,211,000.00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27.64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104,709,529.05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80,000,320.00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安信新趋势A( 001710.OF )</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71,796,000.00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21国债16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60,032,700.00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21惠科S1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51,383,700.00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鹏华中证银行 ( 160631.OF )</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51,243,000.00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20广金01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41,902,200.00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40,000,260.00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兴业期货-全天候1号单一资产管理计划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37,926,521.42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9K212051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19江北国资MTN001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9K212051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20常德城投MTN001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9K212051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20川铁投MTN004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9K212051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20联发集MTN001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9K212051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21江东控股MTN001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2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051010100101083886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兴银理财灵动全天候1号净值型理财产品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13CE3D62"/>
    <w:rsid w:val="17F6231D"/>
    <w:rsid w:val="1EC738C6"/>
    <w:rsid w:val="5E156ABD"/>
    <w:rsid w:val="71C870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2022-10-21T06:05:00Z</dcterms:created>
  <dc:creator>cib</dc:creator>
  <cp:lastModifiedBy>cib</cp:lastModifiedBy>
  <dcterms:modified xsi:type="dcterms:W3CDTF">2022-10-21T11:19:08Z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