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兴银理财睿盈优选平衡7号混合类净值型理财产品2022年第三季度报告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兴银理财睿盈优选平衡7号混合类净值型理财产品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兴银理财睿盈优选平衡7号混合类净值型理财产品2022年第三季度报告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兴银理财睿盈优选平衡7号混合类净值型理财产品2022年第三季度报告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兴银理财睿盈优选平衡7号混合类净值型理财产品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9K220007</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Z7002020000155</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2,071,214,033.69份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2.00%--8.00%/8.00%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产品9K220007自成立日以来，累计净值增长率为2.2250%，年化累计净值增长率为1.1095%。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兴银理财睿盈优选平衡7号混合类净值型理财产品2022年第三季度报告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1.00225</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1.02225</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2,075,872,001.74</w:t>
            </w: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156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张浩立先生,同济大学工学学士、同济大学工学硕士、纽约大学金融硕士，2020年加入兴银理财，FOF投研经验6年。曾任平安资产管理有限公司FOF投资经理。2020年10月开始管理平衡型产品。</w:t>
            </w:r>
            <w:r>
              <w:rPr>
                <w:rFonts w:ascii="宋体" w:hAnsi="宋体" w:eastAsia="宋体" w:cs="宋体"/>
                <w:color w:val="000000"/>
                <w:sz w:val="21"/>
              </w:rPr>
              <w:br w:type="textWrapping"/>
            </w:r>
            <w:r>
              <w:rPr>
                <w:rFonts w:ascii="宋体" w:hAnsi="宋体" w:eastAsia="宋体" w:cs="宋体"/>
                <w:color w:val="000000"/>
                <w:sz w:val="21"/>
              </w:rPr>
              <w:t xml:space="preserve">    吴楚男先生，人民大学金融学硕士，7年固定收益领域投资交易经验，曾任职浙商银行金融市场部、友邦保险资产管理中心等金融机构，自2020年10月加入兴银理财以来，担任投资经理，对利率债、利率互换、国债期货等固收品种有丰富的实战经验与较深刻的理解，擅长挖掘市场微观变化与机会。</w:t>
            </w:r>
          </w:p>
        </w:tc>
        <w:tc>
          <w:p>
            <w:pPr>
              <w:pStyle w:val="4"/>
            </w:pPr>
          </w:p>
        </w:tc>
      </w:tr>
      <w:tr>
        <w:tblPrEx>
          <w:tblCellMar>
            <w:top w:w="0" w:type="dxa"/>
            <w:left w:w="10" w:type="dxa"/>
            <w:bottom w:w="0" w:type="dxa"/>
            <w:right w:w="10" w:type="dxa"/>
          </w:tblCellMar>
        </w:tblPrEx>
        <w:trPr>
          <w:gridAfter w:val="4"/>
          <w:wAfter w:w="40" w:type="dxa"/>
          <w:trHeight w:val="7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86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整体是宏观因素多且复杂的一年。在美债利率大幅上行、俄乌冲突长期化、全国各地尤其是华东地区疫情散发的事件下，前4个月市场大幅下跌，5-6月在复工复产后，随着企业盈利预期好转、流动性宽松的大背景下，市场迎来一轮反弹，其中边际变化更明显的新兴产业反弹更猛。三季度以来美债利率大幅上行、国内地产疫情有所恶化、俄乌冲突烈度提高等因素进一步压制，市场再度震荡下行。其中由于科技领域前期反弹较多，下跌幅度也较大。</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ascii="宋体" w:hAnsi="宋体" w:eastAsia="宋体" w:cs="宋体"/>
                <w:color w:val="000000"/>
                <w:sz w:val="21"/>
              </w:rPr>
              <w:t xml:space="preserve">    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兴银理财睿盈优选平衡7号混合类净值型理财产品2022年第三季度报告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9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 xml:space="preserve">    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ascii="宋体" w:hAnsi="宋体" w:eastAsia="宋体" w:cs="宋体"/>
                <w:color w:val="000000"/>
                <w:sz w:val="21"/>
              </w:rPr>
              <w:t xml:space="preserve">    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17.71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69.93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兴银理财睿盈优选平衡7号混合类净值型理财产品2022年第三季度报告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wAfter w:w="40" w:type="dxa"/>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兴业基金-兴富99号集合资产管理计划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310,637,235.32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工商银行活期存款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21广西旅发MTN002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58,941,885.00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20湖北广电(疫情防控债)MTN001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43,035,510.00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21先行控股MTN002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42,687,372.00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21常城10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41,041,360.00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21青城06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40,903,440.00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21海晟01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40,823,200.00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22华证01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40,210,720.00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21桂交02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35,497,770.00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1.71</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wAfter w:w="40" w:type="dxa"/>
          <w:trHeight w:val="48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20湖北广电(疫情防控债)MTN001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20联发集MTN001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21晋焦煤MTN004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21重南新城PPN001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22广西旅发SCP001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22联发集MTN001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9K220007</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22绿城房产MTN003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wAfter w:w="40" w:type="dxa"/>
          <w:trHeight w:val="106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兴银理财睿盈优选平衡7号混合类净值型理财产品2022年第三季度报告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051010100101095516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兴银理财睿盈优选平衡7号混合类净值型理财产品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82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505B2810"/>
    <w:rsid w:val="6BC461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2022-10-21T06:48:00Z</dcterms:created>
  <dc:creator>cib</dc:creator>
  <cp:lastModifiedBy>cib</cp:lastModifiedBy>
  <dcterms:modified xsi:type="dcterms:W3CDTF">2022-10-21T11:51:45Z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