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2"/>
        <w:tblW w:w="0" w:type="auto"/>
        <w:tblInd w:w="0" w:type="dxa"/>
        <w:tblLayout w:type="fixed"/>
        <w:tblCellMar>
          <w:top w:w="0" w:type="dxa"/>
          <w:left w:w="10" w:type="dxa"/>
          <w:bottom w:w="0" w:type="dxa"/>
          <w:right w:w="10" w:type="dxa"/>
        </w:tblCellMar>
      </w:tblPr>
      <w:tblGrid>
        <w:gridCol w:w="1"/>
        <w:gridCol w:w="20"/>
        <w:gridCol w:w="20"/>
        <w:gridCol w:w="60"/>
        <w:gridCol w:w="100"/>
        <w:gridCol w:w="2400"/>
        <w:gridCol w:w="420"/>
        <w:gridCol w:w="380"/>
        <w:gridCol w:w="740"/>
        <w:gridCol w:w="260"/>
        <w:gridCol w:w="700"/>
        <w:gridCol w:w="300"/>
        <w:gridCol w:w="1000"/>
        <w:gridCol w:w="1000"/>
        <w:gridCol w:w="400"/>
        <w:gridCol w:w="2220"/>
        <w:gridCol w:w="180"/>
        <w:gridCol w:w="300"/>
        <w:gridCol w:w="100"/>
        <w:gridCol w:w="100"/>
        <w:gridCol w:w="1"/>
        <w:gridCol w:w="19"/>
        <w:gridCol w:w="1"/>
        <w:gridCol w:w="19"/>
        <w:gridCol w:w="1"/>
      </w:tblGrid>
      <w:tr>
        <w:tblPrEx>
          <w:tblCellMar>
            <w:top w:w="0" w:type="dxa"/>
            <w:left w:w="10" w:type="dxa"/>
            <w:bottom w:w="0" w:type="dxa"/>
            <w:right w:w="10" w:type="dxa"/>
          </w:tblCellMar>
        </w:tblPrEx>
        <w:trPr>
          <w:gridAfter w:val="4"/>
          <w:wAfter w:w="40" w:type="dxa"/>
          <w:trHeight w:val="0" w:hRule="atLeast"/>
        </w:trPr>
        <w:tc>
          <w:p>
            <w:pPr>
              <w:pStyle w:val="4"/>
            </w:pPr>
            <w:bookmarkStart w:id="0" w:name="JR_PAGE_ANCHOR_0_1"/>
            <w:bookmarkEnd w:id="0"/>
          </w:p>
        </w:tc>
        <w:tc>
          <w:tcPr>
            <w:gridSpan w:val="6"/>
          </w:tcPr>
          <w:p>
            <w:pPr>
              <w:pStyle w:val="4"/>
            </w:pPr>
          </w:p>
        </w:tc>
        <w:tc>
          <w:p>
            <w:pPr>
              <w:pStyle w:val="4"/>
            </w:pPr>
          </w:p>
        </w:tc>
        <w:tc>
          <w:tcPr>
            <w:gridSpan w:val="4"/>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兴银理财增盈优选22号净值型理财产品2022年第三季度报告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6"/>
          </w:tcPr>
          <w:p>
            <w:pPr>
              <w:pStyle w:val="4"/>
            </w:pPr>
          </w:p>
        </w:tc>
        <w:tc>
          <w:p>
            <w:pPr>
              <w:pStyle w:val="4"/>
            </w:pPr>
          </w:p>
        </w:tc>
        <w:tc>
          <w:tcPr>
            <w:gridSpan w:val="4"/>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960" w:hRule="exact"/>
        </w:trPr>
        <w:tc>
          <w:p>
            <w:pPr>
              <w:pStyle w:val="4"/>
            </w:pPr>
          </w:p>
        </w:tc>
        <w:tc>
          <w:tcPr>
            <w:gridSpan w:val="6"/>
          </w:tcPr>
          <w:p>
            <w:pPr>
              <w:pStyle w:val="4"/>
            </w:pPr>
          </w:p>
        </w:tc>
        <w:tc>
          <w:p>
            <w:pPr>
              <w:pStyle w:val="4"/>
            </w:pPr>
          </w:p>
        </w:tc>
        <w:tc>
          <w:tcPr>
            <w:gridSpan w:val="4"/>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3020" w:hRule="atLeast"/>
        </w:trPr>
        <w:tc>
          <w:p>
            <w:pPr>
              <w:pStyle w:val="4"/>
            </w:pPr>
          </w:p>
        </w:tc>
        <w:tc>
          <w:tcPr>
            <w:gridSpan w:val="19"/>
            <w:tcMar>
              <w:top w:w="0" w:type="dxa"/>
              <w:left w:w="0" w:type="dxa"/>
              <w:bottom w:w="0" w:type="dxa"/>
              <w:right w:w="0" w:type="dxa"/>
            </w:tcMar>
            <w:vAlign w:val="center"/>
          </w:tcPr>
          <w:p>
            <w:pPr>
              <w:spacing w:before="0" w:after="0" w:line="360" w:lineRule="auto"/>
              <w:jc w:val="center"/>
            </w:pPr>
            <w:r>
              <w:rPr>
                <w:rFonts w:ascii="宋体" w:hAnsi="宋体" w:eastAsia="宋体" w:cs="宋体"/>
                <w:b/>
                <w:color w:val="000000"/>
                <w:sz w:val="32"/>
              </w:rPr>
              <w:t>兴银理财增盈优选22号净值型理财产品</w:t>
            </w:r>
            <w:r>
              <w:rPr>
                <w:rFonts w:ascii="宋体" w:hAnsi="宋体" w:eastAsia="宋体" w:cs="宋体"/>
                <w:b/>
                <w:color w:val="000000"/>
                <w:sz w:val="32"/>
              </w:rPr>
              <w:br w:type="textWrapping"/>
            </w:r>
            <w:r>
              <w:rPr>
                <w:rFonts w:ascii="宋体" w:hAnsi="宋体" w:eastAsia="宋体" w:cs="宋体"/>
                <w:b/>
                <w:color w:val="000000"/>
                <w:sz w:val="32"/>
              </w:rPr>
              <w:t>2022年第三季度报告</w:t>
            </w:r>
          </w:p>
        </w:tc>
        <w:tc>
          <w:p>
            <w:pPr>
              <w:pStyle w:val="4"/>
            </w:pPr>
          </w:p>
        </w:tc>
      </w:tr>
      <w:tr>
        <w:tblPrEx>
          <w:tblCellMar>
            <w:top w:w="0" w:type="dxa"/>
            <w:left w:w="10" w:type="dxa"/>
            <w:bottom w:w="0" w:type="dxa"/>
            <w:right w:w="10" w:type="dxa"/>
          </w:tblCellMar>
        </w:tblPrEx>
        <w:trPr>
          <w:gridAfter w:val="4"/>
          <w:wAfter w:w="40" w:type="dxa"/>
          <w:trHeight w:val="6600" w:hRule="exact"/>
        </w:trPr>
        <w:tc>
          <w:p>
            <w:pPr>
              <w:pStyle w:val="4"/>
            </w:pPr>
          </w:p>
        </w:tc>
        <w:tc>
          <w:tcPr>
            <w:gridSpan w:val="6"/>
          </w:tcPr>
          <w:p>
            <w:pPr>
              <w:pStyle w:val="4"/>
            </w:pPr>
          </w:p>
        </w:tc>
        <w:tc>
          <w:p>
            <w:pPr>
              <w:pStyle w:val="4"/>
            </w:pPr>
          </w:p>
        </w:tc>
        <w:tc>
          <w:tcPr>
            <w:gridSpan w:val="4"/>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6"/>
          </w:tcPr>
          <w:p>
            <w:pPr>
              <w:pStyle w:val="4"/>
            </w:pPr>
          </w:p>
        </w:tc>
        <w:tc>
          <w:tcPr>
            <w:gridSpan w:val="9"/>
            <w:tcMar>
              <w:top w:w="0" w:type="dxa"/>
              <w:left w:w="0" w:type="dxa"/>
              <w:bottom w:w="0" w:type="dxa"/>
              <w:right w:w="0" w:type="dxa"/>
            </w:tcMar>
            <w:vAlign w:val="center"/>
          </w:tcPr>
          <w:p>
            <w:pPr>
              <w:jc w:val="left"/>
            </w:pPr>
            <w:r>
              <w:rPr>
                <w:rFonts w:ascii="宋体" w:hAnsi="宋体" w:eastAsia="宋体" w:cs="宋体"/>
                <w:color w:val="000000"/>
                <w:sz w:val="24"/>
              </w:rPr>
              <w:t>理财产品管理人：兴银理财有限责任公司</w:t>
            </w: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6"/>
          </w:tcPr>
          <w:p>
            <w:pPr>
              <w:pStyle w:val="4"/>
            </w:pPr>
          </w:p>
        </w:tc>
        <w:tc>
          <w:tcPr>
            <w:gridSpan w:val="9"/>
            <w:tcMar>
              <w:top w:w="0" w:type="dxa"/>
              <w:left w:w="0" w:type="dxa"/>
              <w:bottom w:w="0" w:type="dxa"/>
              <w:right w:w="0" w:type="dxa"/>
            </w:tcMar>
            <w:vAlign w:val="center"/>
          </w:tcPr>
          <w:p>
            <w:pPr>
              <w:jc w:val="left"/>
            </w:pPr>
            <w:r>
              <w:rPr>
                <w:rFonts w:ascii="宋体" w:hAnsi="宋体" w:eastAsia="宋体" w:cs="宋体"/>
                <w:color w:val="000000"/>
                <w:sz w:val="24"/>
              </w:rPr>
              <w:t>理财产品托管人：兴业银行股份有限公司</w:t>
            </w: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6"/>
          </w:tcPr>
          <w:p>
            <w:pPr>
              <w:pStyle w:val="4"/>
            </w:pPr>
          </w:p>
        </w:tc>
        <w:tc>
          <w:tcPr>
            <w:gridSpan w:val="9"/>
            <w:tcMar>
              <w:top w:w="0" w:type="dxa"/>
              <w:left w:w="0" w:type="dxa"/>
              <w:bottom w:w="0" w:type="dxa"/>
              <w:right w:w="0" w:type="dxa"/>
            </w:tcMar>
            <w:vAlign w:val="center"/>
          </w:tcPr>
          <w:p>
            <w:pPr>
              <w:jc w:val="left"/>
            </w:pPr>
            <w:r>
              <w:rPr>
                <w:rFonts w:ascii="宋体" w:hAnsi="宋体" w:eastAsia="宋体" w:cs="宋体"/>
                <w:color w:val="000000"/>
                <w:sz w:val="24"/>
              </w:rPr>
              <w:t>报告送出日期：2022年10月26日</w:t>
            </w: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2720" w:hRule="exact"/>
        </w:trPr>
        <w:tc>
          <w:p>
            <w:pPr>
              <w:pStyle w:val="4"/>
            </w:pPr>
          </w:p>
        </w:tc>
        <w:tc>
          <w:tcPr>
            <w:gridSpan w:val="6"/>
          </w:tcPr>
          <w:p>
            <w:pPr>
              <w:pStyle w:val="4"/>
            </w:pPr>
          </w:p>
        </w:tc>
        <w:tc>
          <w:p>
            <w:pPr>
              <w:pStyle w:val="4"/>
            </w:pPr>
          </w:p>
        </w:tc>
        <w:tc>
          <w:tcPr>
            <w:gridSpan w:val="4"/>
          </w:tcPr>
          <w:p>
            <w:pPr>
              <w:pStyle w:val="4"/>
            </w:pPr>
          </w:p>
        </w:tc>
        <w:tc>
          <w:tcPr>
            <w:gridSpan w:val="2"/>
          </w:tcPr>
          <w:p>
            <w:pPr>
              <w:pStyle w:val="4"/>
            </w:pP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6"/>
          </w:tcPr>
          <w:p>
            <w:pPr>
              <w:pStyle w:val="4"/>
            </w:pPr>
          </w:p>
        </w:tc>
        <w:tc>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1/</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6</w:t>
            </w:r>
          </w:p>
        </w:tc>
        <w:tc>
          <w:tcPr>
            <w:gridSpan w:val="2"/>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gridAfter w:val="4"/>
          <w:wAfter w:w="40" w:type="dxa"/>
          <w:trHeight w:val="0" w:hRule="atLeast"/>
        </w:trPr>
        <w:tc>
          <w:p>
            <w:pPr>
              <w:pStyle w:val="4"/>
              <w:pageBreakBefore/>
            </w:pPr>
            <w:bookmarkStart w:id="1" w:name="JR_PAGE_ANCHOR_0_2"/>
            <w:bookmarkEnd w:id="1"/>
          </w:p>
        </w:tc>
        <w:tc>
          <w:tcPr>
            <w:gridSpan w:val="3"/>
          </w:tcPr>
          <w:p>
            <w:pPr>
              <w:pStyle w:val="4"/>
            </w:pPr>
          </w:p>
        </w:tc>
        <w:tc>
          <w:tcPr>
            <w:gridSpan w:val="4"/>
          </w:tcPr>
          <w:p>
            <w:pPr>
              <w:pStyle w:val="4"/>
            </w:pPr>
          </w:p>
        </w:tc>
        <w:tc>
          <w:tcPr>
            <w:gridSpan w:val="2"/>
          </w:tcPr>
          <w:p>
            <w:pPr>
              <w:pStyle w:val="4"/>
            </w:pPr>
          </w:p>
        </w:tc>
        <w:tc>
          <w:tcPr>
            <w:gridSpan w:val="2"/>
          </w:tcPr>
          <w:p>
            <w:pPr>
              <w:pStyle w:val="4"/>
            </w:pPr>
          </w:p>
        </w:tc>
        <w:tc>
          <w:p>
            <w:pPr>
              <w:pStyle w:val="4"/>
            </w:pP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兴银理财增盈优选22号净值型理财产品2022年第三季度报告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3"/>
          </w:tcPr>
          <w:p>
            <w:pPr>
              <w:pStyle w:val="4"/>
            </w:pPr>
          </w:p>
        </w:tc>
        <w:tc>
          <w:tcPr>
            <w:gridSpan w:val="4"/>
          </w:tcPr>
          <w:p>
            <w:pPr>
              <w:pStyle w:val="4"/>
            </w:pPr>
          </w:p>
        </w:tc>
        <w:tc>
          <w:tcPr>
            <w:gridSpan w:val="2"/>
          </w:tcPr>
          <w:p>
            <w:pPr>
              <w:pStyle w:val="4"/>
            </w:pPr>
          </w:p>
        </w:tc>
        <w:tc>
          <w:tcPr>
            <w:gridSpan w:val="2"/>
          </w:tcPr>
          <w:p>
            <w:pPr>
              <w:pStyle w:val="4"/>
            </w:pPr>
          </w:p>
        </w:tc>
        <w:tc>
          <w:p>
            <w:pPr>
              <w:pStyle w:val="4"/>
            </w:pP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840" w:hRule="exact"/>
        </w:trPr>
        <w:tc>
          <w:p>
            <w:pPr>
              <w:pStyle w:val="4"/>
            </w:pPr>
          </w:p>
        </w:tc>
        <w:tc>
          <w:tcPr>
            <w:gridSpan w:val="3"/>
          </w:tcPr>
          <w:p>
            <w:pPr>
              <w:pStyle w:val="4"/>
            </w:pPr>
          </w:p>
        </w:tc>
        <w:tc>
          <w:tcPr>
            <w:gridSpan w:val="4"/>
          </w:tcPr>
          <w:p>
            <w:pPr>
              <w:pStyle w:val="4"/>
            </w:pPr>
          </w:p>
        </w:tc>
        <w:tc>
          <w:tcPr>
            <w:gridSpan w:val="2"/>
          </w:tcPr>
          <w:p>
            <w:pPr>
              <w:pStyle w:val="4"/>
            </w:pPr>
          </w:p>
        </w:tc>
        <w:tc>
          <w:tcPr>
            <w:gridSpan w:val="2"/>
          </w:tcPr>
          <w:p>
            <w:pPr>
              <w:pStyle w:val="4"/>
            </w:pPr>
          </w:p>
        </w:tc>
        <w:tc>
          <w:p>
            <w:pPr>
              <w:pStyle w:val="4"/>
            </w:pP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3"/>
          </w:tcPr>
          <w:p>
            <w:pPr>
              <w:pStyle w:val="4"/>
            </w:pPr>
          </w:p>
        </w:tc>
        <w:tc>
          <w:tcPr>
            <w:gridSpan w:val="4"/>
          </w:tcPr>
          <w:p>
            <w:pPr>
              <w:pStyle w:val="4"/>
            </w:pPr>
          </w:p>
        </w:tc>
        <w:tc>
          <w:tcPr>
            <w:gridSpan w:val="2"/>
          </w:tcPr>
          <w:p>
            <w:pPr>
              <w:pStyle w:val="4"/>
            </w:pPr>
          </w:p>
        </w:tc>
        <w:tc>
          <w:tcPr>
            <w:gridSpan w:val="3"/>
            <w:tcMar>
              <w:top w:w="0" w:type="dxa"/>
              <w:left w:w="0" w:type="dxa"/>
              <w:bottom w:w="0" w:type="dxa"/>
              <w:right w:w="0" w:type="dxa"/>
            </w:tcMar>
            <w:vAlign w:val="top"/>
          </w:tcPr>
          <w:p>
            <w:pPr>
              <w:jc w:val="center"/>
            </w:pPr>
            <w:r>
              <w:rPr>
                <w:rFonts w:ascii="宋体" w:hAnsi="宋体" w:eastAsia="宋体" w:cs="宋体"/>
                <w:b/>
                <w:color w:val="000000"/>
                <w:sz w:val="30"/>
              </w:rPr>
              <w:t>目  录</w:t>
            </w: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wAfter w:w="40" w:type="dxa"/>
          <w:trHeight w:val="440" w:hRule="exact"/>
        </w:trPr>
        <w:tc>
          <w:p>
            <w:pPr>
              <w:pStyle w:val="4"/>
            </w:pPr>
          </w:p>
        </w:tc>
        <w:tc>
          <w:tcPr>
            <w:gridSpan w:val="3"/>
          </w:tcPr>
          <w:p>
            <w:pPr>
              <w:pStyle w:val="4"/>
            </w:pPr>
          </w:p>
        </w:tc>
        <w:tc>
          <w:tcPr>
            <w:gridSpan w:val="4"/>
          </w:tcPr>
          <w:p>
            <w:pPr>
              <w:pStyle w:val="4"/>
            </w:pPr>
          </w:p>
        </w:tc>
        <w:tc>
          <w:tcPr>
            <w:gridSpan w:val="2"/>
          </w:tcPr>
          <w:p>
            <w:pPr>
              <w:pStyle w:val="4"/>
            </w:pPr>
          </w:p>
        </w:tc>
        <w:tc>
          <w:tcPr>
            <w:gridSpan w:val="2"/>
          </w:tcPr>
          <w:p>
            <w:pPr>
              <w:pStyle w:val="4"/>
            </w:pPr>
          </w:p>
        </w:tc>
        <w:tc>
          <w:p>
            <w:pPr>
              <w:pStyle w:val="4"/>
            </w:pP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wAfter w:w="40" w:type="dxa"/>
          <w:trHeight w:val="6840" w:hRule="atLeast"/>
        </w:trPr>
        <w:tc>
          <w:p>
            <w:pPr>
              <w:pStyle w:val="4"/>
            </w:pPr>
          </w:p>
        </w:tc>
        <w:tc>
          <w:tcPr>
            <w:gridSpan w:val="3"/>
          </w:tcPr>
          <w:p>
            <w:pPr>
              <w:pStyle w:val="4"/>
            </w:pPr>
          </w:p>
        </w:tc>
        <w:tc>
          <w:tcPr>
            <w:gridSpan w:val="14"/>
            <w:tcMar>
              <w:top w:w="0" w:type="dxa"/>
              <w:left w:w="0" w:type="dxa"/>
              <w:bottom w:w="0" w:type="dxa"/>
              <w:right w:w="0" w:type="dxa"/>
            </w:tcMar>
            <w:vAlign w:val="top"/>
          </w:tcPr>
          <w:p>
            <w:pPr>
              <w:spacing w:before="0" w:after="0" w:line="336" w:lineRule="auto"/>
              <w:jc w:val="left"/>
            </w:pPr>
            <w:r>
              <w:rPr>
                <w:rFonts w:ascii="宋体" w:hAnsi="宋体" w:eastAsia="宋体" w:cs="宋体"/>
                <w:color w:val="000000"/>
                <w:sz w:val="21"/>
              </w:rPr>
              <w:t>§ 一. 重要提示</w:t>
            </w:r>
            <w:r>
              <w:rPr>
                <w:rFonts w:ascii="宋体" w:hAnsi="宋体" w:eastAsia="宋体" w:cs="宋体"/>
                <w:color w:val="000000"/>
                <w:sz w:val="21"/>
              </w:rPr>
              <w:br w:type="textWrapping"/>
            </w:r>
            <w:r>
              <w:rPr>
                <w:rFonts w:ascii="宋体" w:hAnsi="宋体" w:eastAsia="宋体" w:cs="宋体"/>
                <w:color w:val="000000"/>
                <w:sz w:val="21"/>
              </w:rPr>
              <w:t>§ 二. 产品基本信息</w:t>
            </w:r>
            <w:r>
              <w:rPr>
                <w:rFonts w:ascii="宋体" w:hAnsi="宋体" w:eastAsia="宋体" w:cs="宋体"/>
                <w:color w:val="000000"/>
                <w:sz w:val="21"/>
              </w:rPr>
              <w:br w:type="textWrapping"/>
            </w:r>
            <w:r>
              <w:rPr>
                <w:rFonts w:ascii="宋体" w:hAnsi="宋体" w:eastAsia="宋体" w:cs="宋体"/>
                <w:color w:val="000000"/>
                <w:sz w:val="21"/>
              </w:rPr>
              <w:t>§ 三. 产品收益表现</w:t>
            </w:r>
            <w:r>
              <w:rPr>
                <w:rFonts w:ascii="宋体" w:hAnsi="宋体" w:eastAsia="宋体" w:cs="宋体"/>
                <w:color w:val="000000"/>
                <w:sz w:val="21"/>
              </w:rPr>
              <w:br w:type="textWrapping"/>
            </w:r>
            <w:r>
              <w:rPr>
                <w:rFonts w:ascii="宋体" w:hAnsi="宋体" w:eastAsia="宋体" w:cs="宋体"/>
                <w:color w:val="000000"/>
                <w:sz w:val="21"/>
              </w:rPr>
              <w:t>§ 四. 产品投资经理简介</w:t>
            </w:r>
            <w:r>
              <w:rPr>
                <w:rFonts w:ascii="宋体" w:hAnsi="宋体" w:eastAsia="宋体" w:cs="宋体"/>
                <w:color w:val="000000"/>
                <w:sz w:val="21"/>
              </w:rPr>
              <w:br w:type="textWrapping"/>
            </w:r>
            <w:r>
              <w:rPr>
                <w:rFonts w:ascii="宋体" w:hAnsi="宋体" w:eastAsia="宋体" w:cs="宋体"/>
                <w:color w:val="000000"/>
                <w:sz w:val="21"/>
              </w:rPr>
              <w:t>§ 五. 报告期内产品投资策略</w:t>
            </w:r>
            <w:r>
              <w:rPr>
                <w:rFonts w:ascii="宋体" w:hAnsi="宋体" w:eastAsia="宋体" w:cs="宋体"/>
                <w:color w:val="000000"/>
                <w:sz w:val="21"/>
              </w:rPr>
              <w:br w:type="textWrapping"/>
            </w:r>
            <w:r>
              <w:rPr>
                <w:rFonts w:ascii="宋体" w:hAnsi="宋体" w:eastAsia="宋体" w:cs="宋体"/>
                <w:color w:val="000000"/>
                <w:sz w:val="21"/>
              </w:rPr>
              <w:t>§ 六. 投资组合情况</w:t>
            </w:r>
            <w:r>
              <w:rPr>
                <w:rFonts w:ascii="宋体" w:hAnsi="宋体" w:eastAsia="宋体" w:cs="宋体"/>
                <w:color w:val="000000"/>
                <w:sz w:val="21"/>
              </w:rPr>
              <w:br w:type="textWrapping"/>
            </w:r>
            <w:r>
              <w:rPr>
                <w:rFonts w:ascii="宋体" w:hAnsi="宋体" w:eastAsia="宋体" w:cs="宋体"/>
                <w:color w:val="000000"/>
                <w:sz w:val="21"/>
              </w:rPr>
              <w:t xml:space="preserve">     1. 报告期末资产组合情况</w:t>
            </w:r>
            <w:r>
              <w:rPr>
                <w:rFonts w:ascii="宋体" w:hAnsi="宋体" w:eastAsia="宋体" w:cs="宋体"/>
                <w:color w:val="000000"/>
                <w:sz w:val="21"/>
              </w:rPr>
              <w:br w:type="textWrapping"/>
            </w:r>
            <w:r>
              <w:rPr>
                <w:rFonts w:ascii="宋体" w:hAnsi="宋体" w:eastAsia="宋体" w:cs="宋体"/>
                <w:color w:val="000000"/>
                <w:sz w:val="21"/>
              </w:rPr>
              <w:t xml:space="preserve">     2. 报告期末杠杆融资情况</w:t>
            </w:r>
            <w:r>
              <w:rPr>
                <w:rFonts w:ascii="宋体" w:hAnsi="宋体" w:eastAsia="宋体" w:cs="宋体"/>
                <w:color w:val="000000"/>
                <w:sz w:val="21"/>
              </w:rPr>
              <w:br w:type="textWrapping"/>
            </w:r>
            <w:r>
              <w:rPr>
                <w:rFonts w:ascii="宋体" w:hAnsi="宋体" w:eastAsia="宋体" w:cs="宋体"/>
                <w:color w:val="000000"/>
                <w:sz w:val="21"/>
              </w:rPr>
              <w:t xml:space="preserve">     3. 投资组合的流动性风险分析</w:t>
            </w:r>
            <w:r>
              <w:rPr>
                <w:rFonts w:ascii="宋体" w:hAnsi="宋体" w:eastAsia="宋体" w:cs="宋体"/>
                <w:color w:val="000000"/>
                <w:sz w:val="21"/>
              </w:rPr>
              <w:br w:type="textWrapping"/>
            </w:r>
            <w:r>
              <w:rPr>
                <w:rFonts w:ascii="宋体" w:hAnsi="宋体" w:eastAsia="宋体" w:cs="宋体"/>
                <w:color w:val="000000"/>
                <w:sz w:val="21"/>
              </w:rPr>
              <w:t xml:space="preserve">     4. 报告期末资产持仓前十基本信息</w:t>
            </w:r>
            <w:r>
              <w:rPr>
                <w:rFonts w:ascii="宋体" w:hAnsi="宋体" w:eastAsia="宋体" w:cs="宋体"/>
                <w:color w:val="000000"/>
                <w:sz w:val="21"/>
              </w:rPr>
              <w:br w:type="textWrapping"/>
            </w:r>
            <w:r>
              <w:rPr>
                <w:rFonts w:ascii="宋体" w:hAnsi="宋体" w:eastAsia="宋体" w:cs="宋体"/>
                <w:color w:val="000000"/>
                <w:sz w:val="21"/>
              </w:rPr>
              <w:t xml:space="preserve">     5. 报告期间关联交易情况</w:t>
            </w:r>
            <w:r>
              <w:rPr>
                <w:rFonts w:ascii="宋体" w:hAnsi="宋体" w:eastAsia="宋体" w:cs="宋体"/>
                <w:color w:val="000000"/>
                <w:sz w:val="21"/>
              </w:rPr>
              <w:br w:type="textWrapping"/>
            </w:r>
            <w:r>
              <w:rPr>
                <w:rFonts w:ascii="宋体" w:hAnsi="宋体" w:eastAsia="宋体" w:cs="宋体"/>
                <w:color w:val="000000"/>
                <w:sz w:val="21"/>
              </w:rPr>
              <w:t xml:space="preserve">     6. 投资账户信息</w:t>
            </w:r>
          </w:p>
        </w:tc>
        <w:tc>
          <w:tcPr>
            <w:gridSpan w:val="2"/>
          </w:tcPr>
          <w:p>
            <w:pPr>
              <w:pStyle w:val="4"/>
            </w:pPr>
          </w:p>
        </w:tc>
        <w:tc>
          <w:p>
            <w:pPr>
              <w:pStyle w:val="4"/>
            </w:pPr>
          </w:p>
        </w:tc>
      </w:tr>
      <w:tr>
        <w:tblPrEx>
          <w:tblCellMar>
            <w:top w:w="0" w:type="dxa"/>
            <w:left w:w="10" w:type="dxa"/>
            <w:bottom w:w="0" w:type="dxa"/>
            <w:right w:w="10" w:type="dxa"/>
          </w:tblCellMar>
        </w:tblPrEx>
        <w:trPr>
          <w:gridAfter w:val="4"/>
          <w:wAfter w:w="40" w:type="dxa"/>
          <w:trHeight w:val="6080" w:hRule="exact"/>
        </w:trPr>
        <w:tc>
          <w:p>
            <w:pPr>
              <w:pStyle w:val="4"/>
            </w:pPr>
          </w:p>
        </w:tc>
        <w:tc>
          <w:tcPr>
            <w:gridSpan w:val="3"/>
          </w:tcPr>
          <w:p>
            <w:pPr>
              <w:pStyle w:val="4"/>
            </w:pPr>
          </w:p>
        </w:tc>
        <w:tc>
          <w:tcPr>
            <w:gridSpan w:val="4"/>
          </w:tcPr>
          <w:p>
            <w:pPr>
              <w:pStyle w:val="4"/>
            </w:pPr>
          </w:p>
        </w:tc>
        <w:tc>
          <w:tcPr>
            <w:gridSpan w:val="2"/>
          </w:tcPr>
          <w:p>
            <w:pPr>
              <w:pStyle w:val="4"/>
            </w:pPr>
          </w:p>
        </w:tc>
        <w:tc>
          <w:tcPr>
            <w:gridSpan w:val="2"/>
          </w:tcPr>
          <w:p>
            <w:pPr>
              <w:pStyle w:val="4"/>
            </w:pPr>
          </w:p>
        </w:tc>
        <w:tc>
          <w:p>
            <w:pPr>
              <w:pStyle w:val="4"/>
            </w:pPr>
          </w:p>
        </w:tc>
        <w:tc>
          <w:p>
            <w:pPr>
              <w:pStyle w:val="4"/>
            </w:pP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3"/>
          </w:tcPr>
          <w:p>
            <w:pPr>
              <w:pStyle w:val="4"/>
            </w:pPr>
          </w:p>
        </w:tc>
        <w:tc>
          <w:tcPr>
            <w:gridSpan w:val="4"/>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2/</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6</w:t>
            </w:r>
          </w:p>
        </w:tc>
        <w:tc>
          <w:tcPr>
            <w:gridSpan w:val="4"/>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4"/>
          <w:wAfter w:w="40" w:type="dxa"/>
          <w:trHeight w:val="0" w:hRule="atLeast"/>
        </w:trPr>
        <w:tc>
          <w:p>
            <w:pPr>
              <w:pStyle w:val="4"/>
              <w:pageBreakBefore/>
            </w:pPr>
            <w:bookmarkStart w:id="2" w:name="JR_PAGE_ANCHOR_0_3"/>
            <w:bookmarkEnd w:id="2"/>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兴银理财增盈优选22号净值型理财产品2022年第三季度报告</w:t>
            </w: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p>
            <w:pPr>
              <w:pStyle w:val="4"/>
            </w:pPr>
          </w:p>
        </w:tc>
      </w:tr>
      <w:tr>
        <w:tblPrEx>
          <w:tblCellMar>
            <w:top w:w="0" w:type="dxa"/>
            <w:left w:w="10" w:type="dxa"/>
            <w:bottom w:w="0" w:type="dxa"/>
            <w:right w:w="10" w:type="dxa"/>
          </w:tblCellMar>
        </w:tblPrEx>
        <w:trPr>
          <w:gridAfter w:val="4"/>
          <w:wAfter w:w="40" w:type="dxa"/>
          <w:trHeight w:val="6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一. 重要提示</w:t>
            </w:r>
          </w:p>
        </w:tc>
        <w:tc>
          <w:p>
            <w:pPr>
              <w:pStyle w:val="4"/>
            </w:pPr>
          </w:p>
        </w:tc>
      </w:tr>
      <w:tr>
        <w:tblPrEx>
          <w:tblCellMar>
            <w:top w:w="0" w:type="dxa"/>
            <w:left w:w="10" w:type="dxa"/>
            <w:bottom w:w="0" w:type="dxa"/>
            <w:right w:w="10" w:type="dxa"/>
          </w:tblCellMar>
        </w:tblPrEx>
        <w:trPr>
          <w:gridAfter w:val="4"/>
          <w:wAfter w:w="40" w:type="dxa"/>
          <w:trHeight w:val="2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3080" w:hRule="atLeast"/>
        </w:trPr>
        <w:tc>
          <w:p>
            <w:pPr>
              <w:pStyle w:val="4"/>
            </w:pPr>
          </w:p>
        </w:tc>
        <w:tc>
          <w:tcPr>
            <w:gridSpan w:val="19"/>
            <w:tcBorders>
              <w:top w:val="dotted" w:color="000000" w:sz="8" w:space="0"/>
              <w:left w:val="dotted" w:color="000000" w:sz="8" w:space="0"/>
              <w:bottom w:val="dotted" w:color="000000" w:sz="8" w:space="0"/>
              <w:right w:val="dotted" w:color="000000" w:sz="8" w:space="0"/>
            </w:tcBorders>
            <w:tcMar>
              <w:top w:w="0" w:type="dxa"/>
              <w:left w:w="0" w:type="dxa"/>
              <w:bottom w:w="0" w:type="dxa"/>
              <w:right w:w="0" w:type="dxa"/>
            </w:tcMar>
            <w:vAlign w:val="top"/>
          </w:tcPr>
          <w:p>
            <w:pPr>
              <w:spacing w:before="0" w:after="0" w:line="360" w:lineRule="auto"/>
              <w:jc w:val="left"/>
            </w:pPr>
            <w:r>
              <w:rPr>
                <w:rFonts w:ascii="仿宋" w:hAnsi="仿宋" w:eastAsia="仿宋" w:cs="仿宋"/>
                <w:color w:val="000000"/>
                <w:sz w:val="21"/>
              </w:rPr>
              <w:br w:type="textWrapping"/>
            </w:r>
            <w:r>
              <w:rPr>
                <w:rFonts w:ascii="仿宋" w:hAnsi="仿宋" w:eastAsia="仿宋" w:cs="仿宋"/>
                <w:color w:val="000000"/>
                <w:sz w:val="21"/>
              </w:rPr>
              <w:t xml:space="preserve"> 1. 温馨提醒：理财非存款，产品有风险，投资需谨慎！</w:t>
            </w:r>
            <w:r>
              <w:rPr>
                <w:rFonts w:ascii="仿宋" w:hAnsi="仿宋" w:eastAsia="仿宋" w:cs="仿宋"/>
                <w:color w:val="000000"/>
                <w:sz w:val="21"/>
              </w:rPr>
              <w:br w:type="textWrapping"/>
            </w:r>
            <w:r>
              <w:rPr>
                <w:rFonts w:ascii="仿宋" w:hAnsi="仿宋" w:eastAsia="仿宋" w:cs="仿宋"/>
                <w:color w:val="000000"/>
                <w:sz w:val="21"/>
              </w:rPr>
              <w:t xml:space="preserve"> 2. 理财信息可供参考，详情请咨询理财经理，或在“中国理财网（www.chinawealth.com.cn）”查询该产品相关信息。</w:t>
            </w:r>
            <w:r>
              <w:rPr>
                <w:rFonts w:ascii="仿宋" w:hAnsi="仿宋" w:eastAsia="仿宋" w:cs="仿宋"/>
                <w:color w:val="000000"/>
                <w:sz w:val="21"/>
              </w:rPr>
              <w:br w:type="textWrapping"/>
            </w:r>
            <w:r>
              <w:rPr>
                <w:rFonts w:ascii="仿宋" w:hAnsi="仿宋" w:eastAsia="仿宋" w:cs="仿宋"/>
                <w:color w:val="000000"/>
                <w:sz w:val="21"/>
              </w:rPr>
              <w:t xml:space="preserve"> 3. 兴银理财有限责任公司保留对所有文字说明的最终解释权。</w:t>
            </w:r>
            <w:r>
              <w:rPr>
                <w:rFonts w:ascii="仿宋" w:hAnsi="仿宋" w:eastAsia="仿宋" w:cs="仿宋"/>
                <w:color w:val="000000"/>
                <w:sz w:val="21"/>
              </w:rPr>
              <w:br w:type="textWrapping"/>
            </w:r>
            <w:r>
              <w:rPr>
                <w:rFonts w:ascii="仿宋" w:hAnsi="仿宋" w:eastAsia="仿宋" w:cs="仿宋"/>
                <w:color w:val="000000"/>
                <w:sz w:val="21"/>
              </w:rPr>
              <w:t xml:space="preserve"> 4. 投资组合情况（期末资产组合情况、杠杆比例、资产前十持仓等）详情请理财持有人登录网银后进行查询。</w:t>
            </w:r>
            <w:r>
              <w:rPr>
                <w:rFonts w:ascii="仿宋" w:hAnsi="仿宋" w:eastAsia="仿宋" w:cs="仿宋"/>
                <w:color w:val="000000"/>
                <w:sz w:val="21"/>
              </w:rPr>
              <w:br w:type="textWrapping"/>
            </w:r>
          </w:p>
        </w:tc>
        <w:tc>
          <w:p>
            <w:pPr>
              <w:pStyle w:val="4"/>
            </w:pPr>
          </w:p>
        </w:tc>
      </w:tr>
      <w:tr>
        <w:tblPrEx>
          <w:tblCellMar>
            <w:top w:w="0" w:type="dxa"/>
            <w:left w:w="10" w:type="dxa"/>
            <w:bottom w:w="0" w:type="dxa"/>
            <w:right w:w="10" w:type="dxa"/>
          </w:tblCellMar>
        </w:tblPrEx>
        <w:trPr>
          <w:gridAfter w:val="4"/>
          <w:wAfter w:w="40" w:type="dxa"/>
          <w:trHeight w:val="6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二. 产品基本情况</w:t>
            </w:r>
          </w:p>
        </w:tc>
        <w:tc>
          <w:p>
            <w:pPr>
              <w:pStyle w:val="4"/>
            </w:pPr>
          </w:p>
        </w:tc>
      </w:tr>
      <w:tr>
        <w:tblPrEx>
          <w:tblCellMar>
            <w:top w:w="0" w:type="dxa"/>
            <w:left w:w="10" w:type="dxa"/>
            <w:bottom w:w="0" w:type="dxa"/>
            <w:right w:w="10" w:type="dxa"/>
          </w:tblCellMar>
        </w:tblPrEx>
        <w:trPr>
          <w:gridAfter w:val="4"/>
          <w:wAfter w:w="40" w:type="dxa"/>
          <w:trHeight w:val="2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产品名称</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兴银理财增盈优选22号净值型理财产品</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产品代码</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9K220022</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全国银行业理财信息登记系统登记编码</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Z7002021000090</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产品运作方式</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开放式</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产品募集方式</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公募</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投资类型</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固定收益类</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报告期末产品份额总额</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984,162,535.83份</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业绩比较基准/业绩报酬计提基准</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jc w:val="left"/>
            </w:pPr>
            <w:r>
              <w:rPr>
                <w:rFonts w:ascii="宋体" w:hAnsi="宋体" w:eastAsia="宋体" w:cs="宋体"/>
                <w:color w:val="000000"/>
                <w:sz w:val="21"/>
              </w:rPr>
              <w:t>3.50%--5.50%/5.50%</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投资币种</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人民币</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风险等级</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R3</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产品管理人</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ind w:firstLine="200"/>
            </w:pPr>
            <w:r>
              <w:rPr>
                <w:rFonts w:ascii="宋体" w:hAnsi="宋体" w:eastAsia="宋体" w:cs="宋体"/>
                <w:color w:val="000000"/>
                <w:sz w:val="21"/>
              </w:rPr>
              <w:t>兴银理财有限责任公司</w:t>
            </w:r>
          </w:p>
        </w:tc>
        <w:tc>
          <w:p>
            <w:pPr>
              <w:pStyle w:val="4"/>
            </w:pPr>
          </w:p>
        </w:tc>
      </w:tr>
      <w:tr>
        <w:tblPrEx>
          <w:tblCellMar>
            <w:top w:w="0" w:type="dxa"/>
            <w:left w:w="10" w:type="dxa"/>
            <w:bottom w:w="0" w:type="dxa"/>
            <w:right w:w="10" w:type="dxa"/>
          </w:tblCellMar>
        </w:tblPrEx>
        <w:trPr>
          <w:gridAfter w:val="4"/>
          <w:wAfter w:w="40" w:type="dxa"/>
          <w:trHeight w:val="500" w:hRule="atLeast"/>
        </w:trPr>
        <w:tc>
          <w:p>
            <w:pPr>
              <w:pStyle w:val="4"/>
            </w:pPr>
          </w:p>
        </w:tc>
        <w:tc>
          <w:tcPr>
            <w:gridSpan w:val="8"/>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r>
              <w:rPr>
                <w:rFonts w:ascii="宋体" w:hAnsi="宋体" w:eastAsia="宋体" w:cs="宋体"/>
                <w:color w:val="000000"/>
                <w:sz w:val="21"/>
              </w:rPr>
              <w:t>产品托管人</w:t>
            </w:r>
          </w:p>
        </w:tc>
        <w:tc>
          <w:tcPr>
            <w:gridSpan w:val="11"/>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spacing w:before="0" w:after="0" w:line="240" w:lineRule="auto"/>
              <w:ind w:firstLine="200"/>
            </w:pPr>
            <w:r>
              <w:rPr>
                <w:rFonts w:ascii="宋体" w:hAnsi="宋体" w:eastAsia="宋体" w:cs="宋体"/>
                <w:color w:val="000000"/>
                <w:sz w:val="21"/>
              </w:rPr>
              <w:t>兴业银行股份有限公司</w:t>
            </w:r>
          </w:p>
        </w:tc>
        <w:tc>
          <w:p>
            <w:pPr>
              <w:pStyle w:val="4"/>
            </w:pPr>
          </w:p>
        </w:tc>
      </w:tr>
      <w:tr>
        <w:tblPrEx>
          <w:tblCellMar>
            <w:top w:w="0" w:type="dxa"/>
            <w:left w:w="10" w:type="dxa"/>
            <w:bottom w:w="0" w:type="dxa"/>
            <w:right w:w="10" w:type="dxa"/>
          </w:tblCellMar>
        </w:tblPrEx>
        <w:trPr>
          <w:gridAfter w:val="4"/>
          <w:wAfter w:w="40" w:type="dxa"/>
          <w:trHeight w:val="4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三. 产品收益表现</w:t>
            </w:r>
          </w:p>
        </w:tc>
        <w:tc>
          <w:p>
            <w:pPr>
              <w:pStyle w:val="4"/>
            </w:pPr>
          </w:p>
        </w:tc>
      </w:tr>
      <w:tr>
        <w:tblPrEx>
          <w:tblCellMar>
            <w:top w:w="0" w:type="dxa"/>
            <w:left w:w="10" w:type="dxa"/>
            <w:bottom w:w="0" w:type="dxa"/>
            <w:right w:w="10" w:type="dxa"/>
          </w:tblCellMar>
        </w:tblPrEx>
        <w:trPr>
          <w:gridAfter w:val="4"/>
          <w:wAfter w:w="40" w:type="dxa"/>
          <w:trHeight w:val="40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600" w:hRule="atLeast"/>
        </w:trPr>
        <w:tc>
          <w:p>
            <w:pPr>
              <w:pStyle w:val="4"/>
            </w:pPr>
          </w:p>
        </w:tc>
        <w:tc>
          <w:tcPr>
            <w:gridSpan w:val="16"/>
            <w:tcMar>
              <w:top w:w="0" w:type="dxa"/>
              <w:left w:w="0" w:type="dxa"/>
              <w:bottom w:w="0" w:type="dxa"/>
              <w:right w:w="0" w:type="dxa"/>
            </w:tcMar>
            <w:vAlign w:val="center"/>
          </w:tcPr>
          <w:p>
            <w:pPr>
              <w:spacing w:before="0" w:after="0" w:line="320" w:lineRule="exact"/>
              <w:ind w:firstLine="0"/>
              <w:jc w:val="left"/>
            </w:pPr>
            <w:r>
              <w:rPr>
                <w:rFonts w:ascii="宋体" w:hAnsi="宋体" w:eastAsia="宋体" w:cs="宋体"/>
                <w:color w:val="000000"/>
                <w:sz w:val="21"/>
              </w:rPr>
              <w:t>产品9K220022自成立日以来，累计净值增长率为6.4200%，年化累计净值增长率为4.6402%。</w:t>
            </w:r>
            <w:r>
              <w:rPr>
                <w:rFonts w:ascii="宋体" w:hAnsi="宋体" w:eastAsia="宋体" w:cs="宋体"/>
                <w:color w:val="000000"/>
                <w:sz w:val="21"/>
              </w:rPr>
              <w:br w:type="textWrapping"/>
            </w:r>
            <w:r>
              <w:rPr>
                <w:rFonts w:ascii="宋体" w:hAnsi="宋体" w:eastAsia="宋体" w:cs="宋体"/>
                <w:color w:val="000000"/>
                <w:sz w:val="21"/>
              </w:rPr>
              <w:t>报告期末，产品净值表现具体如下：</w:t>
            </w: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920" w:hRule="exact"/>
        </w:trPr>
        <w:tc>
          <w:p>
            <w:pPr>
              <w:pStyle w:val="4"/>
            </w:pPr>
          </w:p>
        </w:tc>
        <w:tc>
          <w:tcPr>
            <w:gridSpan w:val="7"/>
          </w:tcPr>
          <w:p>
            <w:pPr>
              <w:pStyle w:val="4"/>
            </w:pPr>
          </w:p>
        </w:tc>
        <w:tc>
          <w:p>
            <w:pPr>
              <w:pStyle w:val="4"/>
            </w:pPr>
          </w:p>
        </w:tc>
        <w:tc>
          <w:tcPr>
            <w:gridSpan w:val="3"/>
          </w:tcPr>
          <w:p>
            <w:pPr>
              <w:pStyle w:val="4"/>
            </w:pPr>
          </w:p>
        </w:tc>
        <w:tc>
          <w:tcPr>
            <w:gridSpan w:val="2"/>
          </w:tcPr>
          <w:p>
            <w:pPr>
              <w:pStyle w:val="4"/>
            </w:pP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4"/>
          <w:wAfter w:w="40" w:type="dxa"/>
          <w:trHeight w:val="400" w:hRule="atLeast"/>
        </w:trPr>
        <w:tc>
          <w:p>
            <w:pPr>
              <w:pStyle w:val="4"/>
            </w:pPr>
          </w:p>
        </w:tc>
        <w:tc>
          <w:tcPr>
            <w:gridSpan w:val="7"/>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3/</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6</w:t>
            </w:r>
          </w:p>
        </w:tc>
        <w:tc>
          <w:tcPr>
            <w:gridSpan w:val="3"/>
          </w:tcPr>
          <w:p>
            <w:pPr>
              <w:pStyle w:val="4"/>
            </w:pPr>
          </w:p>
        </w:tc>
        <w:tc>
          <w:tcPr>
            <w:gridSpan w:val="3"/>
          </w:tcPr>
          <w:p>
            <w:pPr>
              <w:pStyle w:val="4"/>
            </w:pPr>
          </w:p>
        </w:tc>
        <w:tc>
          <w:p>
            <w:pPr>
              <w:pStyle w:val="4"/>
            </w:pPr>
          </w:p>
        </w:tc>
      </w:tr>
      <w:tr>
        <w:tblPrEx>
          <w:tblCellMar>
            <w:top w:w="0" w:type="dxa"/>
            <w:left w:w="10" w:type="dxa"/>
            <w:bottom w:w="0" w:type="dxa"/>
            <w:right w:w="10" w:type="dxa"/>
          </w:tblCellMar>
        </w:tblPrEx>
        <w:trPr>
          <w:gridAfter w:val="2"/>
          <w:wAfter w:w="20" w:type="dxa"/>
          <w:trHeight w:val="0" w:hRule="atLeast"/>
        </w:trPr>
        <w:tc>
          <w:p>
            <w:pPr>
              <w:pStyle w:val="4"/>
              <w:pageBreakBefore/>
            </w:pPr>
            <w:bookmarkStart w:id="3" w:name="JR_PAGE_ANCHOR_0_4"/>
            <w:bookmarkEnd w:id="3"/>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兴银理财增盈优选22号净值型理财产品2022年第三季度报告</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5"/>
            <w:tcBorders>
              <w:top w:val="single" w:color="080101" w:sz="8" w:space="0"/>
              <w:left w:val="single" w:color="080101" w:sz="8" w:space="0"/>
              <w:bottom w:val="single" w:color="080101" w:sz="8" w:space="0"/>
              <w:right w:val="single" w:color="080101" w:sz="8" w:space="0"/>
            </w:tcBorders>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估值日期</w:t>
            </w:r>
          </w:p>
        </w:tc>
        <w:tc>
          <w:tcPr>
            <w:gridSpan w:val="5"/>
            <w:tcBorders>
              <w:top w:val="single" w:color="080101" w:sz="8" w:space="0"/>
              <w:left w:val="single" w:color="080101" w:sz="8" w:space="0"/>
              <w:bottom w:val="single" w:color="080101" w:sz="8" w:space="0"/>
              <w:right w:val="single" w:color="080101" w:sz="8" w:space="0"/>
            </w:tcBorders>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产品份额净值</w:t>
            </w:r>
          </w:p>
        </w:tc>
        <w:tc>
          <w:tcPr>
            <w:gridSpan w:val="4"/>
            <w:tcBorders>
              <w:top w:val="single" w:color="080101" w:sz="8" w:space="0"/>
              <w:left w:val="single" w:color="080101" w:sz="8" w:space="0"/>
              <w:bottom w:val="single" w:color="080101" w:sz="8" w:space="0"/>
              <w:right w:val="single" w:color="080101" w:sz="8" w:space="0"/>
            </w:tcBorders>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 xml:space="preserve">产品累计净值 </w:t>
            </w:r>
          </w:p>
        </w:tc>
        <w:tc>
          <w:tcPr>
            <w:gridSpan w:val="4"/>
            <w:tcBorders>
              <w:top w:val="single" w:color="080101" w:sz="8" w:space="0"/>
              <w:left w:val="single" w:color="080101" w:sz="8" w:space="0"/>
              <w:bottom w:val="single" w:color="080101" w:sz="8" w:space="0"/>
              <w:right w:val="single" w:color="080101" w:sz="8" w:space="0"/>
            </w:tcBorders>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产品资产净值</w:t>
            </w: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5"/>
            <w:tcBorders>
              <w:top w:val="single" w:color="080101" w:sz="8" w:space="0"/>
              <w:left w:val="single" w:color="080101" w:sz="8" w:space="0"/>
              <w:bottom w:val="single" w:color="080101" w:sz="8" w:space="0"/>
              <w:right w:val="single" w:color="080101" w:sz="8" w:space="0"/>
            </w:tcBorders>
            <w:tcMar>
              <w:top w:w="0" w:type="dxa"/>
              <w:left w:w="0" w:type="dxa"/>
              <w:bottom w:w="0" w:type="dxa"/>
              <w:right w:w="0" w:type="dxa"/>
            </w:tcMar>
            <w:vAlign w:val="center"/>
          </w:tcPr>
          <w:p>
            <w:pPr>
              <w:jc w:val="center"/>
            </w:pPr>
            <w:r>
              <w:rPr>
                <w:rFonts w:ascii="宋体" w:hAnsi="宋体" w:eastAsia="宋体" w:cs="宋体"/>
                <w:color w:val="000000"/>
                <w:sz w:val="21"/>
              </w:rPr>
              <w:t>2022年9月30日</w:t>
            </w:r>
          </w:p>
        </w:tc>
        <w:tc>
          <w:tcPr>
            <w:gridSpan w:val="5"/>
            <w:tcBorders>
              <w:top w:val="single" w:color="080101" w:sz="8" w:space="0"/>
              <w:left w:val="single" w:color="080101" w:sz="8" w:space="0"/>
              <w:bottom w:val="single" w:color="080101" w:sz="8" w:space="0"/>
              <w:right w:val="single" w:color="080101" w:sz="8" w:space="0"/>
            </w:tcBorders>
            <w:tcMar>
              <w:top w:w="0" w:type="dxa"/>
              <w:left w:w="0" w:type="dxa"/>
              <w:bottom w:w="0" w:type="dxa"/>
              <w:right w:w="0" w:type="dxa"/>
            </w:tcMar>
            <w:vAlign w:val="center"/>
          </w:tcPr>
          <w:p>
            <w:pPr>
              <w:jc w:val="center"/>
            </w:pPr>
            <w:r>
              <w:rPr>
                <w:rFonts w:ascii="宋体" w:hAnsi="宋体" w:eastAsia="宋体" w:cs="宋体"/>
                <w:color w:val="000000"/>
                <w:sz w:val="21"/>
              </w:rPr>
              <w:t>1.03889</w:t>
            </w:r>
          </w:p>
        </w:tc>
        <w:tc>
          <w:tcPr>
            <w:gridSpan w:val="4"/>
            <w:tcBorders>
              <w:top w:val="single" w:color="080101" w:sz="8" w:space="0"/>
              <w:left w:val="single" w:color="080101" w:sz="8" w:space="0"/>
              <w:bottom w:val="single" w:color="080101" w:sz="8" w:space="0"/>
              <w:right w:val="single" w:color="080101" w:sz="8" w:space="0"/>
            </w:tcBorders>
            <w:tcMar>
              <w:top w:w="0" w:type="dxa"/>
              <w:left w:w="0" w:type="dxa"/>
              <w:bottom w:w="0" w:type="dxa"/>
              <w:right w:w="0" w:type="dxa"/>
            </w:tcMar>
            <w:vAlign w:val="center"/>
          </w:tcPr>
          <w:p>
            <w:pPr>
              <w:jc w:val="center"/>
            </w:pPr>
            <w:r>
              <w:rPr>
                <w:rFonts w:ascii="宋体" w:hAnsi="宋体" w:eastAsia="宋体" w:cs="宋体"/>
                <w:color w:val="000000"/>
                <w:sz w:val="21"/>
              </w:rPr>
              <w:t>1.06420</w:t>
            </w:r>
          </w:p>
        </w:tc>
        <w:tc>
          <w:tcPr>
            <w:gridSpan w:val="4"/>
            <w:tcBorders>
              <w:top w:val="single" w:color="080101" w:sz="8" w:space="0"/>
              <w:left w:val="single" w:color="080101" w:sz="8" w:space="0"/>
              <w:bottom w:val="single" w:color="080101" w:sz="8" w:space="0"/>
              <w:right w:val="single" w:color="080101" w:sz="8" w:space="0"/>
            </w:tcBorders>
            <w:tcMar>
              <w:top w:w="0" w:type="dxa"/>
              <w:left w:w="0" w:type="dxa"/>
              <w:bottom w:w="0" w:type="dxa"/>
              <w:right w:w="0" w:type="dxa"/>
            </w:tcMar>
            <w:vAlign w:val="center"/>
          </w:tcPr>
          <w:p>
            <w:pPr>
              <w:jc w:val="center"/>
            </w:pPr>
            <w:r>
              <w:rPr>
                <w:rFonts w:ascii="宋体" w:hAnsi="宋体" w:eastAsia="宋体" w:cs="宋体"/>
                <w:color w:val="000000"/>
                <w:sz w:val="21"/>
              </w:rPr>
              <w:t>1,022,440,381.07</w:t>
            </w: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四. 产品投资经理简介</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2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1240" w:hRule="atLeast"/>
        </w:trPr>
        <w:tc>
          <w:p>
            <w:pPr>
              <w:pStyle w:val="4"/>
            </w:pPr>
          </w:p>
        </w:tc>
        <w:tc>
          <w:tcPr>
            <w:gridSpan w:val="19"/>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严泓，复旦大学数学系本科+经济学硕士，金融投资专业领域从业12年，具备丰富的多资产领域投资经验和广阔的全球宏观对冲视野。历任国内大型金融机构和顶尖私募对冲基金投资经理、合伙人，独立管理账户和产品超过10年，业绩表现优异。投资理念坚持自上而下和自下而上结合，把握宏观趋势结合微观结构，善于利于基本面和量化策略进行大类资产配置，注重绝对收益。</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72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五. 报告期内产品的投资策略和运作分析</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2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900" w:hRule="atLeast"/>
        </w:trPr>
        <w:tc>
          <w:p>
            <w:pPr>
              <w:pStyle w:val="4"/>
            </w:pPr>
          </w:p>
        </w:tc>
        <w:tc>
          <w:tcPr>
            <w:gridSpan w:val="19"/>
            <w:tcMar>
              <w:top w:w="0" w:type="dxa"/>
              <w:left w:w="0" w:type="dxa"/>
              <w:bottom w:w="0" w:type="dxa"/>
              <w:right w:w="0" w:type="dxa"/>
            </w:tcMar>
            <w:vAlign w:val="top"/>
          </w:tcPr>
          <w:p>
            <w:pPr>
              <w:spacing w:before="0" w:after="0" w:line="320" w:lineRule="exact"/>
              <w:ind w:firstLine="420" w:firstLineChars="200"/>
              <w:jc w:val="left"/>
            </w:pPr>
            <w:r>
              <w:rPr>
                <w:rFonts w:ascii="宋体" w:hAnsi="宋体" w:eastAsia="宋体" w:cs="宋体"/>
                <w:color w:val="000000"/>
                <w:sz w:val="21"/>
              </w:rPr>
              <w:t>债券市场方面，我们认为在经济增速下行、货币政策不会收紧的大前提下不具备持续下跌的基础，短期只是前期涨幅过大的回调叠加通胀预期的发酵，接下来市场应该会归于震荡，对于我们的票息持有策略有利，净值会逐渐回升。</w:t>
            </w:r>
            <w:r>
              <w:rPr>
                <w:rFonts w:ascii="宋体" w:hAnsi="宋体" w:eastAsia="宋体" w:cs="宋体"/>
                <w:color w:val="000000"/>
                <w:sz w:val="21"/>
              </w:rPr>
              <w:br w:type="textWrapping"/>
            </w:r>
            <w:r>
              <w:rPr>
                <w:rFonts w:hint="eastAsia" w:ascii="宋体" w:hAnsi="宋体" w:eastAsia="宋体" w:cs="宋体"/>
                <w:color w:val="000000"/>
                <w:sz w:val="21"/>
                <w:lang w:val="en-US" w:eastAsia="zh-CN"/>
              </w:rPr>
              <w:t xml:space="preserve">    </w:t>
            </w:r>
            <w:r>
              <w:rPr>
                <w:rFonts w:ascii="宋体" w:hAnsi="宋体" w:eastAsia="宋体" w:cs="宋体"/>
                <w:color w:val="000000"/>
                <w:sz w:val="21"/>
              </w:rPr>
              <w:t>权益方面，市场大幅下跌之后已经出现较好的配置机会，只要把握好风格、仓位，目前其实是较好的投资窗口，整体来看目前我们的结构、仓位是均衡可控的。历史上来看，没有出现大的流动性风险的情况下股、债齐跌是不可持续的。</w:t>
            </w:r>
            <w:r>
              <w:rPr>
                <w:rFonts w:ascii="宋体" w:hAnsi="宋体" w:eastAsia="宋体" w:cs="宋体"/>
                <w:color w:val="000000"/>
                <w:sz w:val="21"/>
              </w:rPr>
              <w:br w:type="textWrapping"/>
            </w:r>
            <w:r>
              <w:rPr>
                <w:rFonts w:hint="eastAsia" w:ascii="宋体" w:hAnsi="宋体" w:eastAsia="宋体" w:cs="宋体"/>
                <w:color w:val="000000"/>
                <w:sz w:val="21"/>
                <w:lang w:val="en-US" w:eastAsia="zh-CN"/>
              </w:rPr>
              <w:t xml:space="preserve">    </w:t>
            </w:r>
            <w:r>
              <w:rPr>
                <w:rFonts w:ascii="宋体" w:hAnsi="宋体" w:eastAsia="宋体" w:cs="宋体"/>
                <w:color w:val="000000"/>
                <w:sz w:val="21"/>
              </w:rPr>
              <w:t>后期产品投资策略方面，我们会积极把握相关投资机会，给产品客户创造收益。我们系列产品历史业绩表现优异，很多投资策略都是基于产品整个周期和市场行情考虑，短期的波动在所难免但是都在产品预设范围之内符合预期，请投资者耐心持有，相信后期业绩会令人满意。</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8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9"/>
            <w:tcMar>
              <w:top w:w="0" w:type="dxa"/>
              <w:left w:w="0" w:type="dxa"/>
              <w:bottom w:w="0" w:type="dxa"/>
              <w:right w:w="0" w:type="dxa"/>
            </w:tcMar>
            <w:vAlign w:val="center"/>
          </w:tcPr>
          <w:p>
            <w:pPr>
              <w:jc w:val="center"/>
            </w:pPr>
            <w:r>
              <w:rPr>
                <w:rFonts w:ascii="宋体" w:hAnsi="宋体" w:eastAsia="宋体" w:cs="宋体"/>
                <w:b/>
                <w:color w:val="000000"/>
                <w:sz w:val="24"/>
              </w:rPr>
              <w:t>§ 六. 投资组合情况</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p>
            <w:pPr>
              <w:pStyle w:val="4"/>
            </w:pPr>
          </w:p>
        </w:tc>
        <w:tc>
          <w:tcPr>
            <w:gridSpan w:val="20"/>
            <w:tcMar>
              <w:top w:w="0" w:type="dxa"/>
              <w:left w:w="0" w:type="dxa"/>
              <w:bottom w:w="0" w:type="dxa"/>
              <w:right w:w="0" w:type="dxa"/>
            </w:tcMar>
            <w:vAlign w:val="center"/>
          </w:tcPr>
          <w:p>
            <w:pPr>
              <w:jc w:val="left"/>
            </w:pPr>
            <w:r>
              <w:rPr>
                <w:rFonts w:ascii="宋体" w:hAnsi="宋体" w:eastAsia="宋体" w:cs="宋体"/>
                <w:b/>
                <w:color w:val="000000"/>
                <w:sz w:val="21"/>
              </w:rPr>
              <w:t>1.报告期末产品资产组合情况</w:t>
            </w:r>
          </w:p>
        </w:tc>
        <w:tc>
          <w:p>
            <w:pPr>
              <w:pStyle w:val="4"/>
            </w:pPr>
          </w:p>
        </w:tc>
      </w:tr>
      <w:tr>
        <w:tblPrEx>
          <w:tblCellMar>
            <w:top w:w="0" w:type="dxa"/>
            <w:left w:w="10" w:type="dxa"/>
            <w:bottom w:w="0" w:type="dxa"/>
            <w:right w:w="10" w:type="dxa"/>
          </w:tblCellMar>
        </w:tblPrEx>
        <w:trPr>
          <w:gridAfter w:val="2"/>
          <w:wAfter w:w="20" w:type="dxa"/>
          <w:trHeight w:val="4320" w:hRule="exact"/>
        </w:trPr>
        <w:tc>
          <w:p>
            <w:pPr>
              <w:pStyle w:val="4"/>
            </w:pPr>
          </w:p>
        </w:tc>
        <w:tc>
          <w:p>
            <w:pPr>
              <w:pStyle w:val="4"/>
            </w:pPr>
          </w:p>
        </w:tc>
        <w:tc>
          <w:tcPr>
            <w:gridSpan w:val="4"/>
          </w:tcPr>
          <w:p>
            <w:pPr>
              <w:pStyle w:val="4"/>
            </w:pPr>
          </w:p>
        </w:tc>
        <w:tc>
          <w:tcPr>
            <w:gridSpan w:val="2"/>
          </w:tcPr>
          <w:p>
            <w:pPr>
              <w:pStyle w:val="4"/>
            </w:pPr>
          </w:p>
        </w:tc>
        <w:tc>
          <w:tcPr>
            <w:gridSpan w:val="3"/>
          </w:tcPr>
          <w:p>
            <w:pPr>
              <w:pStyle w:val="4"/>
            </w:pPr>
          </w:p>
        </w:tc>
        <w:tc>
          <w:p>
            <w:pPr>
              <w:pStyle w:val="4"/>
            </w:pPr>
          </w:p>
        </w:tc>
        <w:tc>
          <w:tcPr>
            <w:gridSpan w:val="2"/>
          </w:tcPr>
          <w:p>
            <w:pPr>
              <w:pStyle w:val="4"/>
            </w:pP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p>
            <w:pPr>
              <w:pStyle w:val="4"/>
            </w:pPr>
          </w:p>
        </w:tc>
        <w:tc>
          <w:tcPr>
            <w:gridSpan w:val="4"/>
          </w:tcPr>
          <w:p>
            <w:pPr>
              <w:pStyle w:val="4"/>
            </w:pPr>
          </w:p>
        </w:tc>
        <w:tc>
          <w:tcPr>
            <w:gridSpan w:val="2"/>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4/</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6</w:t>
            </w:r>
          </w:p>
        </w:tc>
        <w:tc>
          <w:p>
            <w:pPr>
              <w:pStyle w:val="4"/>
            </w:pPr>
          </w:p>
        </w:tc>
        <w:tc>
          <w:tcPr>
            <w:gridSpan w:val="4"/>
          </w:tcPr>
          <w:p>
            <w:pPr>
              <w:pStyle w:val="4"/>
            </w:pPr>
          </w:p>
        </w:tc>
        <w:tc>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0" w:hRule="atLeast"/>
        </w:trPr>
        <w:tc>
          <w:p>
            <w:pPr>
              <w:pStyle w:val="4"/>
              <w:pageBreakBefore/>
            </w:pPr>
            <w:bookmarkStart w:id="4" w:name="JR_PAGE_ANCHOR_0_5"/>
            <w:bookmarkEnd w:id="4"/>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兴银理财增盈优选22号净值型理财产品2022年第三季度报告</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0" w:hRule="exact"/>
        </w:trPr>
        <w:tc>
          <w:p>
            <w:pPr>
              <w:pStyle w:val="4"/>
            </w:pPr>
          </w:p>
        </w:tc>
        <w:tc>
          <w:p>
            <w:pPr>
              <w:pStyle w:val="4"/>
            </w:pPr>
          </w:p>
        </w:tc>
        <w:tc>
          <w:tcPr>
            <w:gridSpan w:val="20"/>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600"/>
              <w:gridCol w:w="3600"/>
              <w:gridCol w:w="3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直接投资占产品总资产的比例（%）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0F8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间接投资占产品总资产的比例（%）</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现金及存款</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1.61</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17.78</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买入返售金融资产</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0.61</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债券投资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30.49</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33.22</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权益投资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6.18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6.18</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公募基金</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4.04</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4.04</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非标准化债权类资产</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37.88</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37.88</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衍生品</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0.29</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委外投资</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19.80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0.00</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总计</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100.00</w:t>
                        </w:r>
                      </w:p>
                    </w:tc>
                  </w:tr>
                </w:tbl>
                <w:p>
                  <w:pPr>
                    <w:pStyle w:val="4"/>
                  </w:pPr>
                </w:p>
              </w:tc>
            </w:tr>
          </w:tbl>
          <w:p>
            <w:pPr>
              <w:pStyle w:val="4"/>
            </w:pPr>
          </w:p>
        </w:tc>
        <w:tc>
          <w:p>
            <w:pPr>
              <w:pStyle w:val="4"/>
            </w:pPr>
          </w:p>
        </w:tc>
      </w:tr>
      <w:tr>
        <w:tblPrEx>
          <w:tblCellMar>
            <w:top w:w="0" w:type="dxa"/>
            <w:left w:w="10" w:type="dxa"/>
            <w:bottom w:w="0" w:type="dxa"/>
            <w:right w:w="10" w:type="dxa"/>
          </w:tblCellMar>
        </w:tblPrEx>
        <w:trPr>
          <w:gridAfter w:val="2"/>
          <w:wAfter w:w="20" w:type="dxa"/>
          <w:trHeight w:val="2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9"/>
            <w:tcMar>
              <w:top w:w="0" w:type="dxa"/>
              <w:left w:w="0" w:type="dxa"/>
              <w:bottom w:w="0" w:type="dxa"/>
              <w:right w:w="0" w:type="dxa"/>
            </w:tcMar>
            <w:vAlign w:val="center"/>
          </w:tcPr>
          <w:p>
            <w:pPr>
              <w:jc w:val="left"/>
            </w:pPr>
            <w:r>
              <w:rPr>
                <w:rFonts w:ascii="宋体" w:hAnsi="宋体" w:eastAsia="宋体" w:cs="宋体"/>
                <w:b/>
                <w:color w:val="000000"/>
                <w:sz w:val="21"/>
              </w:rPr>
              <w:t>2.报告期末杠杆融资情况</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1000" w:hRule="atLeast"/>
        </w:trPr>
        <w:tc>
          <w:p>
            <w:pPr>
              <w:pStyle w:val="4"/>
            </w:pPr>
          </w:p>
        </w:tc>
        <w:tc>
          <w:tcPr>
            <w:gridSpan w:val="19"/>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报告期末本产品总资产未超过该产品净资产规模的140%，符合产品协议对本产品杠杆比例的要求。</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9"/>
            <w:tcMar>
              <w:top w:w="0" w:type="dxa"/>
              <w:left w:w="0" w:type="dxa"/>
              <w:bottom w:w="0" w:type="dxa"/>
              <w:right w:w="0" w:type="dxa"/>
            </w:tcMar>
            <w:vAlign w:val="center"/>
          </w:tcPr>
          <w:p>
            <w:pPr>
              <w:jc w:val="left"/>
            </w:pPr>
            <w:r>
              <w:rPr>
                <w:rFonts w:ascii="宋体" w:hAnsi="宋体" w:eastAsia="宋体" w:cs="宋体"/>
                <w:b/>
                <w:color w:val="000000"/>
                <w:sz w:val="21"/>
              </w:rPr>
              <w:t>3.投资组合的流动性风险分析</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580" w:hRule="atLeast"/>
        </w:trPr>
        <w:tc>
          <w:p>
            <w:pPr>
              <w:pStyle w:val="4"/>
            </w:pPr>
          </w:p>
        </w:tc>
        <w:tc>
          <w:tcPr>
            <w:gridSpan w:val="19"/>
            <w:tcMar>
              <w:top w:w="0" w:type="dxa"/>
              <w:left w:w="0" w:type="dxa"/>
              <w:bottom w:w="0" w:type="dxa"/>
              <w:right w:w="0" w:type="dxa"/>
            </w:tcMar>
            <w:vAlign w:val="top"/>
          </w:tcPr>
          <w:p>
            <w:pPr>
              <w:spacing w:before="0" w:after="0" w:line="320" w:lineRule="exact"/>
              <w:ind w:firstLine="0"/>
              <w:jc w:val="left"/>
            </w:pPr>
            <w:r>
              <w:rPr>
                <w:rFonts w:ascii="宋体" w:hAnsi="宋体" w:eastAsia="宋体" w:cs="宋体"/>
                <w:color w:val="000000"/>
                <w:sz w:val="21"/>
              </w:rPr>
              <w:t xml:space="preserve">   </w:t>
            </w:r>
            <w:r>
              <w:rPr>
                <w:rFonts w:hint="eastAsia" w:ascii="宋体" w:hAnsi="宋体" w:eastAsia="宋体" w:cs="宋体"/>
                <w:color w:val="000000"/>
                <w:sz w:val="21"/>
                <w:lang w:val="en-US" w:eastAsia="zh-CN"/>
              </w:rPr>
              <w:t xml:space="preserve"> </w:t>
            </w:r>
            <w:r>
              <w:rPr>
                <w:rFonts w:ascii="宋体" w:hAnsi="宋体" w:eastAsia="宋体" w:cs="宋体"/>
                <w:color w:val="000000"/>
                <w:sz w:val="21"/>
              </w:rPr>
              <w:t>流动性风险是指产品在履行与金融负债有关的义务时遇到资金短缺的风险。本产品的流动性风险一方面来自理财份额持有人可在约定的开放日提出赎回其持有的理财份额，另一方面来自于若投资品种所处的交易市场不活跃，可能带来资产变现困难或产品持仓资产在市场出现剧烈波动的情况下难以以合理价格变现的风险。</w:t>
            </w:r>
            <w:r>
              <w:rPr>
                <w:rFonts w:ascii="宋体" w:hAnsi="宋体" w:eastAsia="宋体" w:cs="宋体"/>
                <w:color w:val="000000"/>
                <w:sz w:val="21"/>
              </w:rPr>
              <w:br w:type="textWrapping"/>
            </w:r>
            <w:r>
              <w:rPr>
                <w:rFonts w:hint="eastAsia" w:ascii="宋体" w:hAnsi="宋体" w:eastAsia="宋体" w:cs="宋体"/>
                <w:color w:val="000000"/>
                <w:sz w:val="21"/>
                <w:lang w:val="en-US" w:eastAsia="zh-CN"/>
              </w:rPr>
              <w:t xml:space="preserve">    </w:t>
            </w:r>
            <w:bookmarkStart w:id="6" w:name="_GoBack"/>
            <w:bookmarkEnd w:id="6"/>
            <w:r>
              <w:rPr>
                <w:rFonts w:ascii="宋体" w:hAnsi="宋体" w:eastAsia="宋体" w:cs="宋体"/>
                <w:color w:val="000000"/>
                <w:sz w:val="21"/>
              </w:rPr>
              <w:t>为防范无法支付赎回款而产生的流动性风险，本理财产品管理人将合理安排所投资产期限，持续根据市场变化情况做好投资安排，尽可能降低产品流动性风险，有效保障理财持有人利益。</w:t>
            </w:r>
            <w:r>
              <w:rPr>
                <w:rFonts w:ascii="宋体" w:hAnsi="宋体" w:eastAsia="宋体" w:cs="宋体"/>
                <w:color w:val="000000"/>
                <w:sz w:val="21"/>
              </w:rPr>
              <w:br w:type="textWrapping"/>
            </w:r>
            <w:r>
              <w:rPr>
                <w:rFonts w:ascii="宋体" w:hAnsi="宋体" w:eastAsia="宋体" w:cs="宋体"/>
                <w:color w:val="000000"/>
                <w:sz w:val="21"/>
              </w:rPr>
              <w:t xml:space="preserve">    报告期内，本理财产品管理人严格遵守相关法律法规以及产品销售协议，对理财产品组合资产的流动性风险进行管理，报告期内未发生流动性风险。</w:t>
            </w:r>
            <w:r>
              <w:rPr>
                <w:rFonts w:ascii="宋体" w:hAnsi="宋体" w:eastAsia="宋体" w:cs="宋体"/>
                <w:color w:val="000000"/>
                <w:sz w:val="21"/>
              </w:rPr>
              <w:br w:type="textWrapping"/>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50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600" w:hRule="atLeast"/>
        </w:trPr>
        <w:tc>
          <w:p>
            <w:pPr>
              <w:pStyle w:val="4"/>
            </w:pPr>
          </w:p>
        </w:tc>
        <w:tc>
          <w:tcPr>
            <w:gridSpan w:val="19"/>
            <w:tcMar>
              <w:top w:w="0" w:type="dxa"/>
              <w:left w:w="0" w:type="dxa"/>
              <w:bottom w:w="0" w:type="dxa"/>
              <w:right w:w="0" w:type="dxa"/>
            </w:tcMar>
            <w:vAlign w:val="center"/>
          </w:tcPr>
          <w:p>
            <w:r>
              <w:rPr>
                <w:rFonts w:ascii="宋体" w:hAnsi="宋体" w:eastAsia="宋体" w:cs="宋体"/>
                <w:b/>
                <w:color w:val="000000"/>
                <w:sz w:val="21"/>
              </w:rPr>
              <w:t>4.报告期末资产持仓前十基本信息</w:t>
            </w: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2440" w:hRule="exact"/>
        </w:trPr>
        <w:tc>
          <w:p>
            <w:pPr>
              <w:pStyle w:val="4"/>
            </w:pPr>
          </w:p>
        </w:tc>
        <w:tc>
          <w:tcPr>
            <w:gridSpan w:val="19"/>
            <w:tcBorders>
              <w:bottom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4000"/>
              <w:gridCol w:w="2600"/>
              <w:gridCol w:w="3100"/>
            </w:tblGrid>
            <w:tr>
              <w:trPr>
                <w:trHeight w:val="64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资产规模</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4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占产品资产净值的比例（%）</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22江阴资产02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131,034,453.00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12.82</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光大永明资产-永聚固收124号资产管理产品</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101,227,646.20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9.90</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大家资管稳健精选15号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101,043,411.93</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9.88</w:t>
                        </w:r>
                      </w:p>
                    </w:tc>
                  </w:tr>
                </w:tbl>
                <w:p>
                  <w:pPr>
                    <w:pStyle w:val="4"/>
                  </w:pPr>
                </w:p>
              </w:tc>
            </w:tr>
          </w:tbl>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20" w:hRule="exact"/>
        </w:trPr>
        <w:tc>
          <w:p>
            <w:pPr>
              <w:pStyle w:val="4"/>
            </w:pPr>
          </w:p>
        </w:tc>
        <w:tc>
          <w:p>
            <w:pPr>
              <w:pStyle w:val="4"/>
            </w:pPr>
          </w:p>
        </w:tc>
        <w:tc>
          <w:tcPr>
            <w:gridSpan w:val="6"/>
          </w:tcPr>
          <w:p>
            <w:pPr>
              <w:pStyle w:val="4"/>
            </w:pPr>
          </w:p>
        </w:tc>
        <w:tc>
          <w:tcPr>
            <w:gridSpan w:val="4"/>
          </w:tcPr>
          <w:p>
            <w:pPr>
              <w:pStyle w:val="4"/>
            </w:pPr>
          </w:p>
        </w:tc>
        <w:tc>
          <w:tcPr>
            <w:gridSpan w:val="2"/>
          </w:tcPr>
          <w:p>
            <w:pPr>
              <w:pStyle w:val="4"/>
            </w:pP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gridAfter w:val="2"/>
          <w:wAfter w:w="20" w:type="dxa"/>
          <w:trHeight w:val="400" w:hRule="atLeast"/>
        </w:trPr>
        <w:tc>
          <w:p>
            <w:pPr>
              <w:pStyle w:val="4"/>
            </w:pPr>
          </w:p>
        </w:tc>
        <w:tc>
          <w:p>
            <w:pPr>
              <w:pStyle w:val="4"/>
            </w:pPr>
          </w:p>
        </w:tc>
        <w:tc>
          <w:tcPr>
            <w:gridSpan w:val="6"/>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5/</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6</w:t>
            </w:r>
          </w:p>
        </w:tc>
        <w:tc>
          <w:tcPr>
            <w:gridSpan w:val="6"/>
          </w:tcPr>
          <w:p>
            <w:pPr>
              <w:pStyle w:val="4"/>
            </w:pPr>
          </w:p>
        </w:tc>
        <w:tc>
          <w:tcPr>
            <w:gridSpan w:val="2"/>
          </w:tcPr>
          <w:p>
            <w:pPr>
              <w:pStyle w:val="4"/>
            </w:pPr>
          </w:p>
        </w:tc>
        <w:tc>
          <w:p>
            <w:pPr>
              <w:pStyle w:val="4"/>
            </w:pPr>
          </w:p>
        </w:tc>
      </w:tr>
      <w:tr>
        <w:tblPrEx>
          <w:tblCellMar>
            <w:top w:w="0" w:type="dxa"/>
            <w:left w:w="10" w:type="dxa"/>
            <w:bottom w:w="0" w:type="dxa"/>
            <w:right w:w="10" w:type="dxa"/>
          </w:tblCellMar>
        </w:tblPrEx>
        <w:trPr>
          <w:trHeight w:val="0" w:hRule="atLeast"/>
        </w:trPr>
        <w:tc>
          <w:p>
            <w:pPr>
              <w:pStyle w:val="4"/>
              <w:pageBreakBefore/>
            </w:pPr>
            <w:bookmarkStart w:id="5" w:name="JR_PAGE_ANCHOR_0_6"/>
            <w:bookmarkEnd w:id="5"/>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9"/>
            <w:tcMar>
              <w:top w:w="0" w:type="dxa"/>
              <w:left w:w="0" w:type="dxa"/>
              <w:bottom w:w="0" w:type="dxa"/>
              <w:right w:w="0" w:type="dxa"/>
            </w:tcMar>
            <w:vAlign w:val="bottom"/>
          </w:tcPr>
          <w:p>
            <w:pPr>
              <w:spacing w:before="0" w:after="0" w:line="192" w:lineRule="auto"/>
              <w:jc w:val="left"/>
            </w:pPr>
            <w:r>
              <w:rPr>
                <w:rFonts w:ascii="宋体" w:hAnsi="宋体" w:eastAsia="宋体" w:cs="宋体"/>
                <w:color w:val="808080"/>
                <w:sz w:val="18"/>
              </w:rPr>
              <w:t>兴银理财增盈优选22号净值型理财产品2022年第三季度报告</w:t>
            </w: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 w:hRule="exact"/>
        </w:trPr>
        <w:tc>
          <w:p>
            <w:pPr>
              <w:pStyle w:val="4"/>
            </w:pPr>
          </w:p>
        </w:tc>
        <w:tc>
          <w:tcPr>
            <w:gridSpan w:val="19"/>
            <w:tcBorders>
              <w:top w:val="single" w:color="000000" w:sz="8" w:space="0"/>
            </w:tcBorders>
            <w:shd w:val="clear" w:color="auto" w:fill="FFFFFF"/>
            <w:tcMar>
              <w:top w:w="0" w:type="dxa"/>
              <w:left w:w="0" w:type="dxa"/>
              <w:bottom w:w="0" w:type="dxa"/>
              <w:right w:w="0" w:type="dxa"/>
            </w:tcMar>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200" w:hRule="exact"/>
        </w:trPr>
        <w:tc>
          <w:p>
            <w:pPr>
              <w:pStyle w:val="4"/>
            </w:pPr>
          </w:p>
        </w:tc>
        <w:tc>
          <w:tcPr>
            <w:gridSpan w:val="19"/>
            <w:tcBorders>
              <w:bottom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4000"/>
              <w:gridCol w:w="2600"/>
              <w:gridCol w:w="3100"/>
            </w:tblGrid>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22闽福建电子ZR004</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100,025,800.00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9.78</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5</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22泰州城投03</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75,019,200.00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7.34</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22江宁国资01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74,021,682.00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7.24</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21海通01</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71,221,990.00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6.97</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8</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22九龙江02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70,015,960.00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6.85</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9</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农行优2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48,240,480.00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4.72</w:t>
                        </w:r>
                      </w:p>
                    </w:tc>
                  </w:tr>
                </w:tbl>
                <w:p>
                  <w:pPr>
                    <w:pStyle w:val="4"/>
                  </w:pPr>
                </w:p>
              </w:tc>
            </w:tr>
            <w:tr>
              <w:tblPrEx>
                <w:tblCellMar>
                  <w:top w:w="0" w:type="dxa"/>
                  <w:left w:w="10" w:type="dxa"/>
                  <w:bottom w:w="0" w:type="dxa"/>
                  <w:right w:w="10" w:type="dxa"/>
                </w:tblCellMar>
              </w:tblPrEx>
              <w:trPr>
                <w:trHeight w:val="58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2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58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10</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21紫金02</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6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41,225,560.00</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4.03</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00" w:hRule="exact"/>
        </w:trPr>
        <w:tc>
          <w:p>
            <w:pPr>
              <w:pStyle w:val="4"/>
            </w:pPr>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atLeast"/>
        </w:trPr>
        <w:tc>
          <w:p>
            <w:pPr>
              <w:pStyle w:val="4"/>
            </w:pPr>
          </w:p>
        </w:tc>
        <w:tc>
          <w:tcPr>
            <w:gridSpan w:val="19"/>
            <w:tcMar>
              <w:top w:w="0" w:type="dxa"/>
              <w:left w:w="0" w:type="dxa"/>
              <w:bottom w:w="0" w:type="dxa"/>
              <w:right w:w="0" w:type="dxa"/>
            </w:tcMar>
            <w:vAlign w:val="center"/>
          </w:tcPr>
          <w:p>
            <w:r>
              <w:rPr>
                <w:rFonts w:ascii="宋体" w:hAnsi="宋体" w:eastAsia="宋体" w:cs="宋体"/>
                <w:b/>
                <w:color w:val="000000"/>
                <w:sz w:val="21"/>
              </w:rPr>
              <w:t>5.报告期间关联交易情况</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5"/>
            <w:tcMar>
              <w:top w:w="0" w:type="dxa"/>
              <w:left w:w="0" w:type="dxa"/>
              <w:bottom w:w="0" w:type="dxa"/>
              <w:right w:w="0" w:type="dxa"/>
            </w:tcMar>
            <w:vAlign w:val="top"/>
          </w:tcPr>
          <w:p>
            <w:r>
              <w:rPr>
                <w:rFonts w:ascii="宋体" w:hAnsi="宋体" w:eastAsia="宋体" w:cs="宋体"/>
                <w:color w:val="000000"/>
                <w:sz w:val="20"/>
              </w:rPr>
              <w:t>5.1 理财产品在报告期末投资关联方发行、承销的证券的情况</w:t>
            </w: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9"/>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gridCol w:w="3000"/>
              <w:gridCol w:w="2800"/>
              <w:gridCol w:w="31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7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1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承销商/发行人</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9"/>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blPrEx>
                <w:tblCellMar>
                  <w:top w:w="0" w:type="dxa"/>
                  <w:left w:w="10" w:type="dxa"/>
                  <w:bottom w:w="0" w:type="dxa"/>
                  <w:right w:w="10" w:type="dxa"/>
                </w:tblCellMar>
              </w:tblPrEx>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5"/>
            <w:tcMar>
              <w:top w:w="0" w:type="dxa"/>
              <w:left w:w="0" w:type="dxa"/>
              <w:bottom w:w="0" w:type="dxa"/>
              <w:right w:w="0" w:type="dxa"/>
            </w:tcMar>
            <w:vAlign w:val="top"/>
          </w:tcPr>
          <w:p>
            <w:r>
              <w:rPr>
                <w:rFonts w:ascii="宋体" w:hAnsi="宋体" w:eastAsia="宋体" w:cs="宋体"/>
                <w:color w:val="000000"/>
                <w:sz w:val="20"/>
              </w:rPr>
              <w:t>5.2 理财产品在报告期内其他关联交易</w:t>
            </w: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9"/>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交易标的</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交易金额（万元）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9"/>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blPrEx>
                <w:tblCellMar>
                  <w:top w:w="0" w:type="dxa"/>
                  <w:left w:w="10" w:type="dxa"/>
                  <w:bottom w:w="0" w:type="dxa"/>
                  <w:right w:w="10" w:type="dxa"/>
                </w:tblCellMar>
              </w:tblPrEx>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200" w:hRule="exact"/>
        </w:trPr>
        <w:tc>
          <w:p>
            <w:pPr>
              <w:pStyle w:val="4"/>
            </w:pPr>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15"/>
            <w:tcMar>
              <w:top w:w="0" w:type="dxa"/>
              <w:left w:w="0" w:type="dxa"/>
              <w:bottom w:w="0" w:type="dxa"/>
              <w:right w:w="0" w:type="dxa"/>
            </w:tcMar>
            <w:vAlign w:val="top"/>
          </w:tcPr>
          <w:p>
            <w:r>
              <w:rPr>
                <w:rFonts w:ascii="宋体" w:hAnsi="宋体" w:eastAsia="宋体" w:cs="宋体"/>
                <w:color w:val="000000"/>
                <w:sz w:val="20"/>
              </w:rPr>
              <w:t>5.3 理财产品在报告期内中的重大关联交易</w:t>
            </w: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9"/>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600"/>
              <w:gridCol w:w="2200"/>
              <w:gridCol w:w="2200"/>
              <w:gridCol w:w="1800"/>
              <w:gridCol w:w="2900"/>
            </w:tblGrid>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shd w:val="clear" w:color="auto" w:fill="BFBFB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5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产品代码</w:t>
                        </w:r>
                      </w:p>
                    </w:tc>
                    <w:tc>
                      <w:p>
                        <w:pPr>
                          <w:pStyle w:val="4"/>
                        </w:pP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资产名称</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资产面额（元）</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8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交易类型</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FBFB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9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b/>
                            <w:color w:val="000000"/>
                            <w:sz w:val="21"/>
                          </w:rPr>
                          <w:t>关联方名称</w:t>
                        </w: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600" w:hRule="exact"/>
        </w:trPr>
        <w:tc>
          <w:p>
            <w:pPr>
              <w:pStyle w:val="4"/>
            </w:pPr>
          </w:p>
        </w:tc>
        <w:tc>
          <w:tcPr>
            <w:gridSpan w:val="19"/>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700"/>
            </w:tblGrid>
            <w:tr>
              <w:tblPrEx>
                <w:tblCellMar>
                  <w:top w:w="0" w:type="dxa"/>
                  <w:left w:w="10" w:type="dxa"/>
                  <w:bottom w:w="0" w:type="dxa"/>
                  <w:right w:w="10" w:type="dxa"/>
                </w:tblCellMar>
              </w:tblPrEx>
              <w:trPr>
                <w:trHeight w:val="600" w:hRule="exact"/>
              </w:trPr>
              <w:tc>
                <w:tcPr>
                  <w:tcBorders>
                    <w:left w:val="single" w:color="000000" w:sz="4" w:space="0"/>
                    <w:bottom w:val="single" w:color="000000" w:sz="4" w:space="0"/>
                    <w:right w:val="single" w:color="000000" w:sz="4" w:space="0"/>
                  </w:tcBorders>
                  <w:shd w:val="clear" w:color="auto" w:fill="FFFFFF"/>
                  <w:tcMar>
                    <w:top w:w="0" w:type="dxa"/>
                    <w:left w:w="2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680"/>
                    <w:gridCol w:w="2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无</w:t>
                        </w:r>
                      </w:p>
                    </w:tc>
                    <w:tc>
                      <w:p>
                        <w:pPr>
                          <w:pStyle w:val="4"/>
                        </w:pPr>
                      </w:p>
                    </w:tc>
                  </w:tr>
                </w:tbl>
                <w:p>
                  <w:pPr>
                    <w:pStyle w:val="4"/>
                  </w:pPr>
                </w:p>
              </w:tc>
            </w:tr>
          </w:tbl>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160" w:hRule="exact"/>
        </w:trPr>
        <w:tc>
          <w:p>
            <w:pPr>
              <w:pStyle w:val="4"/>
            </w:pPr>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1"/>
            <w:tcMar>
              <w:top w:w="0" w:type="dxa"/>
              <w:left w:w="0" w:type="dxa"/>
              <w:bottom w:w="0" w:type="dxa"/>
              <w:right w:w="0" w:type="dxa"/>
            </w:tcMar>
            <w:vAlign w:val="center"/>
          </w:tcPr>
          <w:p>
            <w:pPr>
              <w:jc w:val="left"/>
            </w:pPr>
            <w:r>
              <w:rPr>
                <w:rFonts w:ascii="宋体" w:hAnsi="宋体" w:eastAsia="宋体" w:cs="宋体"/>
                <w:b/>
                <w:color w:val="000000"/>
                <w:sz w:val="21"/>
              </w:rPr>
              <w:t>6.投资账户信息</w:t>
            </w:r>
          </w:p>
        </w:tc>
        <w:tc>
          <w:p>
            <w:pPr>
              <w:pStyle w:val="4"/>
            </w:pPr>
          </w:p>
        </w:tc>
      </w:tr>
      <w:tr>
        <w:tblPrEx>
          <w:tblCellMar>
            <w:top w:w="0" w:type="dxa"/>
            <w:left w:w="10" w:type="dxa"/>
            <w:bottom w:w="0" w:type="dxa"/>
            <w:right w:w="10" w:type="dxa"/>
          </w:tblCellMar>
        </w:tblPrEx>
        <w:trPr>
          <w:trHeight w:val="1200" w:hRule="exact"/>
        </w:trPr>
        <w:tc>
          <w:p>
            <w:pPr>
              <w:pStyle w:val="4"/>
            </w:pPr>
          </w:p>
        </w:tc>
        <w:tc>
          <w:tcPr>
            <w:gridSpan w:val="2"/>
          </w:tcPr>
          <w:p>
            <w:pPr>
              <w:pStyle w:val="4"/>
            </w:pPr>
          </w:p>
        </w:tc>
        <w:tc>
          <w:tcPr>
            <w:gridSpan w:val="21"/>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gridCol w:w="2200"/>
              <w:gridCol w:w="3000"/>
              <w:gridCol w:w="4500"/>
            </w:tblGrid>
            <w:tr>
              <w:tblPrEx>
                <w:tblCellMar>
                  <w:top w:w="0" w:type="dxa"/>
                  <w:left w:w="10" w:type="dxa"/>
                  <w:bottom w:w="0" w:type="dxa"/>
                  <w:right w:w="10" w:type="dxa"/>
                </w:tblCellMar>
              </w:tblPrEx>
              <w:trPr>
                <w:trHeight w:val="600" w:hRule="exact"/>
              </w:trPr>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序号</w:t>
                        </w:r>
                      </w:p>
                    </w:tc>
                  </w:tr>
                </w:tbl>
                <w:p>
                  <w:pPr>
                    <w:pStyle w:val="4"/>
                  </w:pPr>
                </w:p>
              </w:tc>
              <w:tc>
                <w:tcPr>
                  <w:tcBorders>
                    <w:top w:val="single" w:color="000000" w:sz="8" w:space="0"/>
                    <w:left w:val="single" w:color="000000" w:sz="8" w:space="0"/>
                    <w:bottom w:val="single" w:color="000000" w:sz="8" w:space="0"/>
                    <w:right w:val="single" w:color="000000" w:sz="8"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账户类型</w:t>
                        </w:r>
                      </w:p>
                    </w:tc>
                  </w:tr>
                </w:tbl>
                <w:p>
                  <w:pPr>
                    <w:pStyle w:val="4"/>
                  </w:pPr>
                </w:p>
              </w:tc>
              <w:tc>
                <w:tcPr>
                  <w:tcBorders>
                    <w:top w:val="single" w:color="000000" w:sz="8" w:space="0"/>
                    <w:left w:val="single" w:color="000000" w:sz="8" w:space="0"/>
                    <w:bottom w:val="single" w:color="000000" w:sz="8" w:space="0"/>
                    <w:right w:val="single" w:color="000000" w:sz="8"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账户编号</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B3B4B5"/>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blPrEx>
                      <w:tblCellMar>
                        <w:top w:w="0" w:type="dxa"/>
                        <w:left w:w="10" w:type="dxa"/>
                        <w:bottom w:w="0" w:type="dxa"/>
                        <w:right w:w="10" w:type="dxa"/>
                      </w:tblCellMar>
                    </w:tblPrEx>
                    <w:trPr>
                      <w:trHeight w:val="600" w:hRule="atLeast"/>
                    </w:trPr>
                    <w:tc>
                      <w:tcPr>
                        <w:shd w:val="clear" w:color="auto" w:fill="BFBFBF"/>
                        <w:tcMar>
                          <w:top w:w="0" w:type="dxa"/>
                          <w:left w:w="0" w:type="dxa"/>
                          <w:bottom w:w="0" w:type="dxa"/>
                          <w:right w:w="0" w:type="dxa"/>
                        </w:tcMar>
                        <w:vAlign w:val="center"/>
                      </w:tcPr>
                      <w:p>
                        <w:pPr>
                          <w:jc w:val="center"/>
                        </w:pPr>
                        <w:r>
                          <w:rPr>
                            <w:rFonts w:ascii="宋体" w:hAnsi="宋体" w:eastAsia="宋体" w:cs="宋体"/>
                            <w:b/>
                            <w:color w:val="000000"/>
                            <w:sz w:val="21"/>
                          </w:rPr>
                          <w:t>账户名称</w:t>
                        </w:r>
                      </w:p>
                    </w:tc>
                  </w:tr>
                </w:tbl>
                <w:p>
                  <w:pPr>
                    <w:pStyle w:val="4"/>
                  </w:pPr>
                </w:p>
              </w:tc>
            </w:tr>
            <w:tr>
              <w:tblPrEx>
                <w:tblCellMar>
                  <w:top w:w="0" w:type="dxa"/>
                  <w:left w:w="10" w:type="dxa"/>
                  <w:bottom w:w="0" w:type="dxa"/>
                  <w:right w:w="10" w:type="dxa"/>
                </w:tblCellMar>
              </w:tblPrEx>
              <w:trPr>
                <w:trHeight w:val="600" w:hRule="exact"/>
              </w:trPr>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1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1</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22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托管账户</w:t>
                        </w:r>
                      </w:p>
                    </w:tc>
                  </w:tr>
                </w:tbl>
                <w:p>
                  <w:pPr>
                    <w:pStyle w:val="4"/>
                  </w:pPr>
                </w:p>
              </w:tc>
              <w:tc>
                <w:tcPr>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30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051010100101194917</w:t>
                        </w:r>
                      </w:p>
                    </w:tc>
                  </w:tr>
                </w:tbl>
                <w:p>
                  <w:pPr>
                    <w:pStyle w:val="4"/>
                  </w:pPr>
                </w:p>
              </w:tc>
              <w:tc>
                <w:tcPr>
                  <w:tcBorders>
                    <w:top w:val="single" w:color="000000" w:sz="4" w:space="0"/>
                    <w:left w:val="single" w:color="000000" w:sz="4" w:space="0"/>
                    <w:bottom w:val="single" w:color="000000" w:sz="4" w:space="0"/>
                    <w:right w:val="single" w:color="000000" w:sz="4" w:space="0"/>
                  </w:tcBorders>
                  <w:shd w:val="clear" w:color="auto" w:fill="FFFFFF"/>
                  <w:tcMar>
                    <w:top w:w="0" w:type="dxa"/>
                    <w:left w:w="0" w:type="dxa"/>
                    <w:bottom w:w="0" w:type="dxa"/>
                    <w:right w:w="0" w:type="dxa"/>
                  </w:tcMar>
                </w:tcPr>
                <w:tbl>
                  <w:tblPr>
                    <w:tblStyle w:val="2"/>
                    <w:tblW w:w="0" w:type="auto"/>
                    <w:tblInd w:w="0" w:type="dxa"/>
                    <w:tblLayout w:type="fixed"/>
                    <w:tblCellMar>
                      <w:top w:w="0" w:type="dxa"/>
                      <w:left w:w="10" w:type="dxa"/>
                      <w:bottom w:w="0" w:type="dxa"/>
                      <w:right w:w="10" w:type="dxa"/>
                    </w:tblCellMar>
                  </w:tblPr>
                  <w:tblGrid>
                    <w:gridCol w:w="4500"/>
                  </w:tblGrid>
                  <w:tr>
                    <w:tblPrEx>
                      <w:tblCellMar>
                        <w:top w:w="0" w:type="dxa"/>
                        <w:left w:w="10" w:type="dxa"/>
                        <w:bottom w:w="0" w:type="dxa"/>
                        <w:right w:w="10" w:type="dxa"/>
                      </w:tblCellMar>
                    </w:tblPrEx>
                    <w:trPr>
                      <w:trHeight w:val="600" w:hRule="atLeast"/>
                    </w:trPr>
                    <w:tc>
                      <w:tcPr>
                        <w:tcMar>
                          <w:top w:w="0" w:type="dxa"/>
                          <w:left w:w="0" w:type="dxa"/>
                          <w:bottom w:w="0" w:type="dxa"/>
                          <w:right w:w="0" w:type="dxa"/>
                        </w:tcMar>
                        <w:vAlign w:val="center"/>
                      </w:tcPr>
                      <w:p>
                        <w:pPr>
                          <w:jc w:val="center"/>
                        </w:pPr>
                        <w:r>
                          <w:rPr>
                            <w:rFonts w:ascii="宋体" w:hAnsi="宋体" w:eastAsia="宋体" w:cs="宋体"/>
                            <w:color w:val="000000"/>
                            <w:sz w:val="21"/>
                          </w:rPr>
                          <w:t>兴银理财增盈优选22号净值型理财产品</w:t>
                        </w:r>
                      </w:p>
                    </w:tc>
                  </w:tr>
                </w:tbl>
                <w:p>
                  <w:pPr>
                    <w:pStyle w:val="4"/>
                  </w:pPr>
                </w:p>
              </w:tc>
            </w:tr>
          </w:tbl>
          <w:p>
            <w:pPr>
              <w:pStyle w:val="4"/>
            </w:pPr>
          </w:p>
        </w:tc>
        <w:tc>
          <w:p>
            <w:pPr>
              <w:pStyle w:val="4"/>
            </w:pPr>
          </w:p>
        </w:tc>
      </w:tr>
      <w:tr>
        <w:tblPrEx>
          <w:tblCellMar>
            <w:top w:w="0" w:type="dxa"/>
            <w:left w:w="10" w:type="dxa"/>
            <w:bottom w:w="0" w:type="dxa"/>
            <w:right w:w="10" w:type="dxa"/>
          </w:tblCellMar>
        </w:tblPrEx>
        <w:trPr>
          <w:trHeight w:val="960" w:hRule="exact"/>
        </w:trPr>
        <w:tc>
          <w:p>
            <w:pPr>
              <w:pStyle w:val="4"/>
            </w:pPr>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9"/>
            <w:tcMar>
              <w:top w:w="0" w:type="dxa"/>
              <w:left w:w="0" w:type="dxa"/>
              <w:bottom w:w="0" w:type="dxa"/>
              <w:right w:w="0" w:type="dxa"/>
            </w:tcMar>
            <w:vAlign w:val="center"/>
          </w:tcPr>
          <w:p>
            <w:pPr>
              <w:jc w:val="right"/>
            </w:pPr>
            <w:r>
              <w:rPr>
                <w:rFonts w:ascii="宋体" w:hAnsi="宋体" w:eastAsia="宋体" w:cs="宋体"/>
                <w:color w:val="000000"/>
                <w:sz w:val="21"/>
              </w:rPr>
              <w:t>兴银理财有限责任公司</w:t>
            </w: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19"/>
            <w:tcMar>
              <w:top w:w="0" w:type="dxa"/>
              <w:left w:w="0" w:type="dxa"/>
              <w:bottom w:w="0" w:type="dxa"/>
              <w:right w:w="0" w:type="dxa"/>
            </w:tcMar>
            <w:vAlign w:val="top"/>
          </w:tcPr>
          <w:p>
            <w:pPr>
              <w:jc w:val="right"/>
            </w:pPr>
            <w:r>
              <w:rPr>
                <w:rFonts w:ascii="宋体" w:hAnsi="宋体" w:eastAsia="宋体" w:cs="宋体"/>
                <w:color w:val="000000"/>
                <w:sz w:val="21"/>
              </w:rPr>
              <w:t>2022年10月26日</w:t>
            </w:r>
          </w:p>
        </w:tc>
        <w:tc>
          <w:tcPr>
            <w:gridSpan w:val="4"/>
          </w:tcPr>
          <w:p>
            <w:pPr>
              <w:pStyle w:val="4"/>
            </w:pPr>
          </w:p>
        </w:tc>
        <w:tc>
          <w:p>
            <w:pPr>
              <w:pStyle w:val="4"/>
            </w:pPr>
          </w:p>
        </w:tc>
      </w:tr>
      <w:tr>
        <w:tblPrEx>
          <w:tblCellMar>
            <w:top w:w="0" w:type="dxa"/>
            <w:left w:w="10" w:type="dxa"/>
            <w:bottom w:w="0" w:type="dxa"/>
            <w:right w:w="10" w:type="dxa"/>
          </w:tblCellMar>
        </w:tblPrEx>
        <w:trPr>
          <w:trHeight w:val="1180" w:hRule="exact"/>
        </w:trPr>
        <w:tc>
          <w:p>
            <w:pPr>
              <w:pStyle w:val="4"/>
            </w:pPr>
          </w:p>
        </w:tc>
        <w:tc>
          <w:tcPr>
            <w:gridSpan w:val="2"/>
          </w:tcPr>
          <w:p>
            <w:pPr>
              <w:pStyle w:val="4"/>
            </w:pPr>
          </w:p>
        </w:tc>
        <w:tc>
          <w:tcPr>
            <w:gridSpan w:val="2"/>
          </w:tcPr>
          <w:p>
            <w:pPr>
              <w:pStyle w:val="4"/>
            </w:pPr>
          </w:p>
        </w:tc>
        <w:tc>
          <w:tcPr>
            <w:gridSpan w:val="3"/>
          </w:tcPr>
          <w:p>
            <w:pPr>
              <w:pStyle w:val="4"/>
            </w:pPr>
          </w:p>
        </w:tc>
        <w:tc>
          <w:tcPr>
            <w:gridSpan w:val="4"/>
          </w:tcPr>
          <w:p>
            <w:pPr>
              <w:pStyle w:val="4"/>
            </w:pPr>
          </w:p>
        </w:tc>
        <w:tc>
          <w:tcPr>
            <w:gridSpan w:val="2"/>
          </w:tcPr>
          <w:p>
            <w:pPr>
              <w:pStyle w:val="4"/>
            </w:pPr>
          </w:p>
        </w:tc>
        <w:tc>
          <w:tcPr>
            <w:gridSpan w:val="6"/>
          </w:tcPr>
          <w:p>
            <w:pPr>
              <w:pStyle w:val="4"/>
            </w:pPr>
          </w:p>
        </w:tc>
        <w:tc>
          <w:tcPr>
            <w:gridSpan w:val="4"/>
          </w:tcPr>
          <w:p>
            <w:pPr>
              <w:pStyle w:val="4"/>
            </w:pPr>
          </w:p>
        </w:tc>
        <w:tc>
          <w:p>
            <w:pPr>
              <w:pStyle w:val="4"/>
            </w:pPr>
          </w:p>
        </w:tc>
      </w:tr>
      <w:tr>
        <w:tblPrEx>
          <w:tblCellMar>
            <w:top w:w="0" w:type="dxa"/>
            <w:left w:w="10" w:type="dxa"/>
            <w:bottom w:w="0" w:type="dxa"/>
            <w:right w:w="10" w:type="dxa"/>
          </w:tblCellMar>
        </w:tblPrEx>
        <w:trPr>
          <w:trHeight w:val="400" w:hRule="atLeast"/>
        </w:trPr>
        <w:tc>
          <w:p>
            <w:pPr>
              <w:pStyle w:val="4"/>
            </w:pPr>
          </w:p>
        </w:tc>
        <w:tc>
          <w:tcPr>
            <w:gridSpan w:val="2"/>
          </w:tcPr>
          <w:p>
            <w:pPr>
              <w:pStyle w:val="4"/>
            </w:pPr>
          </w:p>
        </w:tc>
        <w:tc>
          <w:tcPr>
            <w:gridSpan w:val="2"/>
          </w:tcPr>
          <w:p>
            <w:pPr>
              <w:pStyle w:val="4"/>
            </w:pPr>
          </w:p>
        </w:tc>
        <w:tc>
          <w:tcPr>
            <w:gridSpan w:val="3"/>
          </w:tcPr>
          <w:p>
            <w:pPr>
              <w:pStyle w:val="4"/>
            </w:pPr>
          </w:p>
        </w:tc>
        <w:tc>
          <w:tcPr>
            <w:gridSpan w:val="4"/>
            <w:tcMar>
              <w:top w:w="0" w:type="dxa"/>
              <w:left w:w="0" w:type="dxa"/>
              <w:bottom w:w="0" w:type="dxa"/>
              <w:right w:w="0" w:type="dxa"/>
            </w:tcMar>
            <w:vAlign w:val="top"/>
          </w:tcPr>
          <w:p>
            <w:pPr>
              <w:jc w:val="right"/>
            </w:pPr>
            <w:r>
              <w:rPr>
                <w:rFonts w:ascii="SansSerif" w:hAnsi="SansSerif" w:eastAsia="SansSerif" w:cs="SansSerif"/>
                <w:color w:val="000000"/>
                <w:sz w:val="18"/>
              </w:rPr>
              <w:t>6/</w:t>
            </w:r>
          </w:p>
        </w:tc>
        <w:tc>
          <w:tcPr>
            <w:gridSpan w:val="2"/>
            <w:tcMar>
              <w:top w:w="0" w:type="dxa"/>
              <w:left w:w="0" w:type="dxa"/>
              <w:bottom w:w="0" w:type="dxa"/>
              <w:right w:w="0" w:type="dxa"/>
            </w:tcMar>
            <w:vAlign w:val="top"/>
          </w:tcPr>
          <w:p>
            <w:pPr>
              <w:jc w:val="left"/>
            </w:pPr>
            <w:r>
              <w:rPr>
                <w:rFonts w:ascii="SansSerif" w:hAnsi="SansSerif" w:eastAsia="SansSerif" w:cs="SansSerif"/>
                <w:color w:val="000000"/>
                <w:sz w:val="18"/>
              </w:rPr>
              <w:t>6</w:t>
            </w:r>
          </w:p>
        </w:tc>
        <w:tc>
          <w:tcPr>
            <w:gridSpan w:val="6"/>
          </w:tcPr>
          <w:p>
            <w:pPr>
              <w:pStyle w:val="4"/>
            </w:pPr>
          </w:p>
        </w:tc>
        <w:tc>
          <w:tcPr>
            <w:gridSpan w:val="4"/>
          </w:tcPr>
          <w:p>
            <w:pPr>
              <w:pStyle w:val="4"/>
            </w:pPr>
          </w:p>
        </w:tc>
        <w:tc>
          <w:p>
            <w:pPr>
              <w:pStyle w:val="4"/>
            </w:pPr>
          </w:p>
        </w:tc>
      </w:tr>
    </w:tbl>
    <w:p/>
    <w:sectPr>
      <w:pgSz w:w="11900" w:h="16840"/>
      <w:pgMar w:top="600" w:right="560" w:bottom="240" w:left="600" w:header="0" w:footer="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SansSerif">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800"/>
  <w:compat>
    <w:useFELayout/>
    <w:splitPgBreakAndParaMark/>
    <w:compatSetting w:name="compatibilityMode" w:uri="http://schemas.microsoft.com/office/word" w:val="12"/>
  </w:compat>
  <w:rsids>
    <w:rsidRoot w:val="00000000"/>
    <w:rsid w:val="04862D10"/>
    <w:rsid w:val="07C4045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sz w:val="21"/>
      <w:szCs w:val="22"/>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paragraph" w:customStyle="1" w:styleId="4">
    <w:name w:val="EMPTY_CELL_STYLE"/>
    <w:qFormat/>
    <w:uiPriority w:val="0"/>
    <w:pPr>
      <w:spacing w:line="240" w:lineRule="auto"/>
    </w:pPr>
    <w:rPr>
      <w:rFonts w:ascii="SansSerif" w:hAnsi="SansSerif" w:eastAsia="SansSerif" w:cs="SansSerif"/>
      <w:color w:val="000000"/>
      <w:sz w:val="1"/>
      <w:szCs w:val="22"/>
    </w:rPr>
  </w:style>
  <w:style w:type="paragraph" w:customStyle="1" w:styleId="5">
    <w:name w:val="Table_TH"/>
    <w:qFormat/>
    <w:uiPriority w:val="0"/>
    <w:pPr>
      <w:spacing w:line="240" w:lineRule="auto"/>
    </w:pPr>
    <w:rPr>
      <w:rFonts w:ascii="SansSerif" w:hAnsi="SansSerif" w:eastAsia="SansSerif" w:cs="SansSerif"/>
      <w:color w:val="000000"/>
      <w:sz w:val="20"/>
      <w:szCs w:val="22"/>
    </w:rPr>
  </w:style>
  <w:style w:type="paragraph" w:customStyle="1" w:styleId="6">
    <w:name w:val="Table_CH"/>
    <w:qFormat/>
    <w:uiPriority w:val="0"/>
    <w:pPr>
      <w:spacing w:line="240" w:lineRule="auto"/>
    </w:pPr>
    <w:rPr>
      <w:rFonts w:ascii="SansSerif" w:hAnsi="SansSerif" w:eastAsia="SansSerif" w:cs="SansSerif"/>
      <w:color w:val="000000"/>
      <w:sz w:val="20"/>
      <w:szCs w:val="22"/>
    </w:rPr>
  </w:style>
  <w:style w:type="paragraph" w:customStyle="1" w:styleId="7">
    <w:name w:val="Table_TD"/>
    <w:qFormat/>
    <w:uiPriority w:val="0"/>
    <w:pPr>
      <w:spacing w:line="240" w:lineRule="auto"/>
    </w:pPr>
    <w:rPr>
      <w:rFonts w:ascii="SansSerif" w:hAnsi="SansSerif" w:eastAsia="SansSerif" w:cs="SansSerif"/>
      <w:color w:val="000000"/>
      <w:sz w:val="20"/>
      <w:szCs w:val="22"/>
    </w:rPr>
  </w:style>
  <w:style w:type="paragraph" w:customStyle="1" w:styleId="8">
    <w:name w:val="Table_CD"/>
    <w:qFormat/>
    <w:uiPriority w:val="0"/>
    <w:pPr>
      <w:spacing w:line="240" w:lineRule="auto"/>
    </w:pPr>
    <w:rPr>
      <w:rFonts w:ascii="SansSerif" w:hAnsi="SansSerif" w:eastAsia="SansSerif" w:cs="SansSerif"/>
      <w:color w:val="000000"/>
      <w:sz w:val="20"/>
      <w:szCs w:val="22"/>
    </w:rPr>
  </w:style>
  <w:style w:type="paragraph" w:customStyle="1" w:styleId="9">
    <w:name w:val="Table 3_TH"/>
    <w:qFormat/>
    <w:uiPriority w:val="0"/>
    <w:pPr>
      <w:spacing w:line="240" w:lineRule="auto"/>
    </w:pPr>
    <w:rPr>
      <w:rFonts w:ascii="SansSerif" w:hAnsi="SansSerif" w:eastAsia="SansSerif" w:cs="SansSerif"/>
      <w:color w:val="000000"/>
      <w:sz w:val="20"/>
      <w:szCs w:val="22"/>
    </w:rPr>
  </w:style>
  <w:style w:type="paragraph" w:customStyle="1" w:styleId="10">
    <w:name w:val="Table 3_CH"/>
    <w:qFormat/>
    <w:uiPriority w:val="0"/>
    <w:pPr>
      <w:spacing w:line="240" w:lineRule="auto"/>
    </w:pPr>
    <w:rPr>
      <w:rFonts w:ascii="SansSerif" w:hAnsi="SansSerif" w:eastAsia="SansSerif" w:cs="SansSerif"/>
      <w:color w:val="000000"/>
      <w:sz w:val="20"/>
      <w:szCs w:val="22"/>
    </w:rPr>
  </w:style>
  <w:style w:type="paragraph" w:customStyle="1" w:styleId="11">
    <w:name w:val="Table 3_TD"/>
    <w:qFormat/>
    <w:uiPriority w:val="0"/>
    <w:pPr>
      <w:spacing w:line="240" w:lineRule="auto"/>
    </w:pPr>
    <w:rPr>
      <w:rFonts w:ascii="SansSerif" w:hAnsi="SansSerif" w:eastAsia="SansSerif" w:cs="SansSerif"/>
      <w:color w:val="000000"/>
      <w:sz w:val="20"/>
      <w:szCs w:val="22"/>
    </w:rPr>
  </w:style>
  <w:style w:type="paragraph" w:customStyle="1" w:styleId="12">
    <w:name w:val="Table 4_TH"/>
    <w:qFormat/>
    <w:uiPriority w:val="0"/>
    <w:pPr>
      <w:spacing w:line="240" w:lineRule="auto"/>
    </w:pPr>
    <w:rPr>
      <w:rFonts w:ascii="SansSerif" w:hAnsi="SansSerif" w:eastAsia="SansSerif" w:cs="SansSerif"/>
      <w:color w:val="000000"/>
      <w:sz w:val="20"/>
      <w:szCs w:val="22"/>
    </w:rPr>
  </w:style>
  <w:style w:type="paragraph" w:customStyle="1" w:styleId="13">
    <w:name w:val="Table 4_CH"/>
    <w:qFormat/>
    <w:uiPriority w:val="0"/>
    <w:pPr>
      <w:spacing w:line="240" w:lineRule="auto"/>
    </w:pPr>
    <w:rPr>
      <w:rFonts w:ascii="SansSerif" w:hAnsi="SansSerif" w:eastAsia="SansSerif" w:cs="SansSerif"/>
      <w:color w:val="000000"/>
      <w:sz w:val="20"/>
      <w:szCs w:val="22"/>
    </w:rPr>
  </w:style>
  <w:style w:type="paragraph" w:customStyle="1" w:styleId="14">
    <w:name w:val="Table 4_TD"/>
    <w:qFormat/>
    <w:uiPriority w:val="0"/>
    <w:pPr>
      <w:spacing w:line="240" w:lineRule="auto"/>
    </w:pPr>
    <w:rPr>
      <w:rFonts w:ascii="SansSerif" w:hAnsi="SansSerif" w:eastAsia="SansSerif" w:cs="SansSerif"/>
      <w:color w:val="000000"/>
      <w:sz w:val="20"/>
      <w:szCs w:val="22"/>
    </w:rPr>
  </w:style>
  <w:style w:type="paragraph" w:customStyle="1" w:styleId="15">
    <w:name w:val="Table 1_TH"/>
    <w:qFormat/>
    <w:uiPriority w:val="0"/>
    <w:pPr>
      <w:spacing w:line="240" w:lineRule="auto"/>
    </w:pPr>
    <w:rPr>
      <w:rFonts w:ascii="SansSerif" w:hAnsi="SansSerif" w:eastAsia="SansSerif" w:cs="SansSerif"/>
      <w:color w:val="000000"/>
      <w:sz w:val="20"/>
      <w:szCs w:val="22"/>
    </w:rPr>
  </w:style>
  <w:style w:type="paragraph" w:customStyle="1" w:styleId="16">
    <w:name w:val="Table 1_CH"/>
    <w:qFormat/>
    <w:uiPriority w:val="0"/>
    <w:pPr>
      <w:spacing w:line="240" w:lineRule="auto"/>
    </w:pPr>
    <w:rPr>
      <w:rFonts w:ascii="SansSerif" w:hAnsi="SansSerif" w:eastAsia="SansSerif" w:cs="SansSerif"/>
      <w:color w:val="000000"/>
      <w:sz w:val="20"/>
      <w:szCs w:val="22"/>
    </w:rPr>
  </w:style>
  <w:style w:type="paragraph" w:customStyle="1" w:styleId="17">
    <w:name w:val="Table 1_TD"/>
    <w:qFormat/>
    <w:uiPriority w:val="0"/>
    <w:pPr>
      <w:spacing w:line="240" w:lineRule="auto"/>
    </w:pPr>
    <w:rPr>
      <w:rFonts w:ascii="SansSerif" w:hAnsi="SansSerif" w:eastAsia="SansSerif" w:cs="SansSerif"/>
      <w:color w:val="000000"/>
      <w:sz w:val="20"/>
      <w:szCs w:val="22"/>
    </w:rPr>
  </w:style>
  <w:style w:type="paragraph" w:customStyle="1" w:styleId="18">
    <w:name w:val="Table 2_TH"/>
    <w:qFormat/>
    <w:uiPriority w:val="0"/>
    <w:pPr>
      <w:spacing w:line="240" w:lineRule="auto"/>
    </w:pPr>
    <w:rPr>
      <w:rFonts w:ascii="SansSerif" w:hAnsi="SansSerif" w:eastAsia="SansSerif" w:cs="SansSerif"/>
      <w:color w:val="000000"/>
      <w:sz w:val="20"/>
      <w:szCs w:val="22"/>
    </w:rPr>
  </w:style>
  <w:style w:type="paragraph" w:customStyle="1" w:styleId="19">
    <w:name w:val="Table 2_CH"/>
    <w:qFormat/>
    <w:uiPriority w:val="0"/>
    <w:pPr>
      <w:spacing w:line="240" w:lineRule="auto"/>
    </w:pPr>
    <w:rPr>
      <w:rFonts w:ascii="SansSerif" w:hAnsi="SansSerif" w:eastAsia="SansSerif" w:cs="SansSerif"/>
      <w:color w:val="000000"/>
      <w:sz w:val="20"/>
      <w:szCs w:val="22"/>
    </w:rPr>
  </w:style>
  <w:style w:type="paragraph" w:customStyle="1" w:styleId="20">
    <w:name w:val="Table 2_TD"/>
    <w:qFormat/>
    <w:uiPriority w:val="0"/>
    <w:pPr>
      <w:spacing w:line="240" w:lineRule="auto"/>
    </w:pPr>
    <w:rPr>
      <w:rFonts w:ascii="SansSerif" w:hAnsi="SansSerif" w:eastAsia="SansSerif" w:cs="SansSerif"/>
      <w:color w:val="000000"/>
      <w:sz w:val="20"/>
      <w:szCs w:val="22"/>
    </w:rPr>
  </w:style>
  <w:style w:type="paragraph" w:customStyle="1" w:styleId="21">
    <w:name w:val="Table 5_TH"/>
    <w:qFormat/>
    <w:uiPriority w:val="0"/>
    <w:pPr>
      <w:spacing w:line="240" w:lineRule="auto"/>
    </w:pPr>
    <w:rPr>
      <w:rFonts w:ascii="SansSerif" w:hAnsi="SansSerif" w:eastAsia="SansSerif" w:cs="SansSerif"/>
      <w:color w:val="000000"/>
      <w:sz w:val="20"/>
      <w:szCs w:val="22"/>
    </w:rPr>
  </w:style>
  <w:style w:type="paragraph" w:customStyle="1" w:styleId="22">
    <w:name w:val="Table 5_CH"/>
    <w:qFormat/>
    <w:uiPriority w:val="0"/>
    <w:pPr>
      <w:spacing w:line="240" w:lineRule="auto"/>
    </w:pPr>
    <w:rPr>
      <w:rFonts w:ascii="SansSerif" w:hAnsi="SansSerif" w:eastAsia="SansSerif" w:cs="SansSerif"/>
      <w:color w:val="000000"/>
      <w:sz w:val="20"/>
      <w:szCs w:val="22"/>
    </w:rPr>
  </w:style>
  <w:style w:type="paragraph" w:customStyle="1" w:styleId="23">
    <w:name w:val="Table 5_TD"/>
    <w:qFormat/>
    <w:uiPriority w:val="0"/>
    <w:pPr>
      <w:spacing w:line="240" w:lineRule="auto"/>
    </w:pPr>
    <w:rPr>
      <w:rFonts w:ascii="SansSerif" w:hAnsi="SansSerif" w:eastAsia="SansSerif" w:cs="SansSerif"/>
      <w:color w:val="000000"/>
      <w:sz w:val="20"/>
      <w:szCs w:val="22"/>
    </w:rPr>
  </w:style>
  <w:style w:type="paragraph" w:customStyle="1" w:styleId="24">
    <w:name w:val="Table 6_TH"/>
    <w:qFormat/>
    <w:uiPriority w:val="0"/>
    <w:pPr>
      <w:spacing w:line="240" w:lineRule="auto"/>
    </w:pPr>
    <w:rPr>
      <w:rFonts w:ascii="SansSerif" w:hAnsi="SansSerif" w:eastAsia="SansSerif" w:cs="SansSerif"/>
      <w:color w:val="000000"/>
      <w:sz w:val="20"/>
      <w:szCs w:val="22"/>
    </w:rPr>
  </w:style>
  <w:style w:type="paragraph" w:customStyle="1" w:styleId="25">
    <w:name w:val="Table 6_CH"/>
    <w:qFormat/>
    <w:uiPriority w:val="0"/>
    <w:pPr>
      <w:spacing w:line="240" w:lineRule="auto"/>
    </w:pPr>
    <w:rPr>
      <w:rFonts w:ascii="SansSerif" w:hAnsi="SansSerif" w:eastAsia="SansSerif" w:cs="SansSerif"/>
      <w:color w:val="000000"/>
      <w:sz w:val="20"/>
      <w:szCs w:val="22"/>
    </w:rPr>
  </w:style>
  <w:style w:type="paragraph" w:customStyle="1" w:styleId="26">
    <w:name w:val="Table 6_TD"/>
    <w:qFormat/>
    <w:uiPriority w:val="0"/>
    <w:pPr>
      <w:spacing w:line="240" w:lineRule="auto"/>
    </w:pPr>
    <w:rPr>
      <w:rFonts w:ascii="SansSerif" w:hAnsi="SansSerif" w:eastAsia="SansSerif" w:cs="SansSerif"/>
      <w:color w:val="000000"/>
      <w:sz w:val="20"/>
      <w:szCs w:val="2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otalTime>0</TotalTime>
  <ScaleCrop>false</ScaleCrop>
  <LinksUpToDate>false</LinksUpToDate>
  <Application>WPS Office_11.8.2.8959_F1E327BC-269C-435d-A152-05C5408002CA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2022-10-21T06:48:00Z</dcterms:created>
  <dc:creator>cib</dc:creator>
  <cp:lastModifiedBy>cib</cp:lastModifiedBy>
  <dcterms:modified xsi:type="dcterms:W3CDTF">2022-10-21T11:46:04Z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2052-11.8.2.8959</vt:lpwstr>
  </property>
</Properties>
</file>