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400"/>
        <w:gridCol w:w="420"/>
        <w:gridCol w:w="380"/>
        <w:gridCol w:w="740"/>
        <w:gridCol w:w="260"/>
        <w:gridCol w:w="700"/>
        <w:gridCol w:w="300"/>
        <w:gridCol w:w="1000"/>
        <w:gridCol w:w="1000"/>
        <w:gridCol w:w="400"/>
        <w:gridCol w:w="2220"/>
        <w:gridCol w:w="180"/>
        <w:gridCol w:w="300"/>
        <w:gridCol w:w="100"/>
        <w:gridCol w:w="100"/>
        <w:gridCol w:w="1"/>
        <w:gridCol w:w="19"/>
        <w:gridCol w:w="1"/>
        <w:gridCol w:w="19"/>
        <w:gridCol w:w="1"/>
      </w:tblGrid>
      <w:tr>
        <w:tblPrEx>
          <w:tblCellMar>
            <w:top w:w="0" w:type="dxa"/>
            <w:left w:w="10" w:type="dxa"/>
            <w:bottom w:w="0" w:type="dxa"/>
            <w:right w:w="10" w:type="dxa"/>
          </w:tblCellMar>
        </w:tblPrEx>
        <w:trPr>
          <w:gridAfter w:val="4"/>
          <w:wAfter w:w="40" w:type="dxa"/>
          <w:trHeight w:val="0" w:hRule="atLeast"/>
        </w:trPr>
        <w:tc>
          <w:p>
            <w:pPr>
              <w:pStyle w:val="4"/>
            </w:pPr>
            <w:bookmarkStart w:id="0" w:name="JR_PAGE_ANCHOR_0_1"/>
            <w:bookmarkEnd w:id="0"/>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兴银理财财智人生ESG1号净值型理财产品2022年第三季度报告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96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3020" w:hRule="atLeast"/>
        </w:trPr>
        <w:tc>
          <w:p>
            <w:pPr>
              <w:pStyle w:val="4"/>
            </w:pPr>
          </w:p>
        </w:tc>
        <w:tc>
          <w:tcPr>
            <w:gridSpan w:val="19"/>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兴银理财财智人生ESG1号净值型理财产品</w:t>
            </w:r>
            <w:r>
              <w:rPr>
                <w:rFonts w:ascii="宋体" w:hAnsi="宋体" w:eastAsia="宋体" w:cs="宋体"/>
                <w:b/>
                <w:color w:val="000000"/>
                <w:sz w:val="32"/>
              </w:rPr>
              <w:br w:type="textWrapping"/>
            </w:r>
            <w:r>
              <w:rPr>
                <w:rFonts w:ascii="宋体" w:hAnsi="宋体" w:eastAsia="宋体" w:cs="宋体"/>
                <w:b/>
                <w:color w:val="000000"/>
                <w:sz w:val="32"/>
              </w:rPr>
              <w:t>2022年第三季度报告</w:t>
            </w:r>
          </w:p>
        </w:tc>
        <w:tc>
          <w:p>
            <w:pPr>
              <w:pStyle w:val="4"/>
            </w:pPr>
          </w:p>
        </w:tc>
      </w:tr>
      <w:tr>
        <w:tblPrEx>
          <w:tblCellMar>
            <w:top w:w="0" w:type="dxa"/>
            <w:left w:w="10" w:type="dxa"/>
            <w:bottom w:w="0" w:type="dxa"/>
            <w:right w:w="10" w:type="dxa"/>
          </w:tblCellMar>
        </w:tblPrEx>
        <w:trPr>
          <w:gridAfter w:val="4"/>
          <w:wAfter w:w="40" w:type="dxa"/>
          <w:trHeight w:val="660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6"/>
          </w:tcPr>
          <w:p>
            <w:pPr>
              <w:pStyle w:val="4"/>
            </w:pPr>
          </w:p>
        </w:tc>
        <w:tc>
          <w:tcPr>
            <w:gridSpan w:val="9"/>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6"/>
          </w:tcPr>
          <w:p>
            <w:pPr>
              <w:pStyle w:val="4"/>
            </w:pPr>
          </w:p>
        </w:tc>
        <w:tc>
          <w:tcPr>
            <w:gridSpan w:val="9"/>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6"/>
          </w:tcPr>
          <w:p>
            <w:pPr>
              <w:pStyle w:val="4"/>
            </w:pPr>
          </w:p>
        </w:tc>
        <w:tc>
          <w:tcPr>
            <w:gridSpan w:val="9"/>
            <w:tcMar>
              <w:top w:w="0" w:type="dxa"/>
              <w:left w:w="0" w:type="dxa"/>
              <w:bottom w:w="0" w:type="dxa"/>
              <w:right w:w="0" w:type="dxa"/>
            </w:tcMar>
            <w:vAlign w:val="center"/>
          </w:tcPr>
          <w:p>
            <w:pPr>
              <w:jc w:val="left"/>
            </w:pPr>
            <w:r>
              <w:rPr>
                <w:rFonts w:ascii="宋体" w:hAnsi="宋体" w:eastAsia="宋体" w:cs="宋体"/>
                <w:color w:val="000000"/>
                <w:sz w:val="24"/>
              </w:rPr>
              <w:t>报告送出日期：2022年10月26日</w:t>
            </w: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272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6"/>
          </w:tcPr>
          <w:p>
            <w:pPr>
              <w:pStyle w:val="4"/>
            </w:pPr>
          </w:p>
        </w:tc>
        <w:tc>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1" w:name="JR_PAGE_ANCHOR_0_2"/>
            <w:bookmarkEnd w:id="1"/>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兴银理财财智人生ESG1号净值型理财产品2022年第三季度报告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84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3"/>
          </w:tcPr>
          <w:p>
            <w:pPr>
              <w:pStyle w:val="4"/>
            </w:pPr>
          </w:p>
        </w:tc>
        <w:tc>
          <w:tcPr>
            <w:gridSpan w:val="4"/>
          </w:tcPr>
          <w:p>
            <w:pPr>
              <w:pStyle w:val="4"/>
            </w:pPr>
          </w:p>
        </w:tc>
        <w:tc>
          <w:tcPr>
            <w:gridSpan w:val="2"/>
          </w:tcPr>
          <w:p>
            <w:pPr>
              <w:pStyle w:val="4"/>
            </w:pPr>
          </w:p>
        </w:tc>
        <w:tc>
          <w:tcPr>
            <w:gridSpan w:val="3"/>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44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6840" w:hRule="atLeast"/>
        </w:trPr>
        <w:tc>
          <w:p>
            <w:pPr>
              <w:pStyle w:val="4"/>
            </w:pPr>
          </w:p>
        </w:tc>
        <w:tc>
          <w:tcPr>
            <w:gridSpan w:val="3"/>
          </w:tcPr>
          <w:p>
            <w:pPr>
              <w:pStyle w:val="4"/>
            </w:pPr>
          </w:p>
        </w:tc>
        <w:tc>
          <w:tcPr>
            <w:gridSpan w:val="14"/>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608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3"/>
          </w:tcPr>
          <w:p>
            <w:pPr>
              <w:pStyle w:val="4"/>
            </w:pPr>
          </w:p>
        </w:tc>
        <w:tc>
          <w:tcPr>
            <w:gridSpan w:val="4"/>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2" w:name="JR_PAGE_ANCHOR_0_3"/>
            <w:bookmarkEnd w:id="2"/>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兴银理财财智人生ESG1号净值型理财产品2022年第三季度报告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6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4"/>
          <w:wAfter w:w="40" w:type="dxa"/>
          <w:trHeight w:val="2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3080" w:hRule="atLeast"/>
        </w:trPr>
        <w:tc>
          <w:p>
            <w:pPr>
              <w:pStyle w:val="4"/>
            </w:pPr>
          </w:p>
        </w:tc>
        <w:tc>
          <w:tcPr>
            <w:gridSpan w:val="19"/>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4"/>
          <w:wAfter w:w="40" w:type="dxa"/>
          <w:trHeight w:val="6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4"/>
          <w:wAfter w:w="40" w:type="dxa"/>
          <w:trHeight w:val="2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兴银理财财智人生ESG1号净值型理财产品</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9K220901</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Z7002020000163</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298,193,766.89份</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3.30%--4.20%/4.20%</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R2</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4"/>
          <w:wAfter w:w="40" w:type="dxa"/>
          <w:trHeight w:val="4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p>
            <w:pPr>
              <w:pStyle w:val="4"/>
            </w:pPr>
          </w:p>
        </w:tc>
      </w:tr>
      <w:tr>
        <w:tblPrEx>
          <w:tblCellMar>
            <w:top w:w="0" w:type="dxa"/>
            <w:left w:w="10" w:type="dxa"/>
            <w:bottom w:w="0" w:type="dxa"/>
            <w:right w:w="10" w:type="dxa"/>
          </w:tblCellMar>
        </w:tblPrEx>
        <w:trPr>
          <w:gridAfter w:val="4"/>
          <w:wAfter w:w="40" w:type="dxa"/>
          <w:trHeight w:val="4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6"/>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产品9K220901自成立日以来，累计净值增长率为8.8000%，年化累计净值增长率为4.3582%。</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92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7"/>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2"/>
          <w:wAfter w:w="20" w:type="dxa"/>
          <w:trHeight w:val="0" w:hRule="atLeast"/>
        </w:trPr>
        <w:tc>
          <w:p>
            <w:pPr>
              <w:pStyle w:val="4"/>
              <w:pageBreakBefore/>
            </w:pPr>
            <w:bookmarkStart w:id="3" w:name="JR_PAGE_ANCHOR_0_4"/>
            <w:bookmarkEnd w:id="3"/>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兴银理财财智人生ESG1号净值型理财产品2022年第三季度报告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5"/>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估值日期</w:t>
            </w:r>
          </w:p>
        </w:tc>
        <w:tc>
          <w:tcPr>
            <w:gridSpan w:val="5"/>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产品份额净值</w:t>
            </w:r>
          </w:p>
        </w:tc>
        <w:tc>
          <w:tcPr>
            <w:gridSpan w:val="4"/>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 xml:space="preserve">产品累计净值 </w:t>
            </w:r>
          </w:p>
        </w:tc>
        <w:tc>
          <w:tcPr>
            <w:gridSpan w:val="4"/>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产品资产净值</w:t>
            </w: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5"/>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c>
          <w:tcPr>
            <w:gridSpan w:val="5"/>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0.99970</w:t>
            </w:r>
          </w:p>
        </w:tc>
        <w:tc>
          <w:tcPr>
            <w:gridSpan w:val="4"/>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1.08800</w:t>
            </w:r>
          </w:p>
        </w:tc>
        <w:tc>
          <w:tcPr>
            <w:gridSpan w:val="4"/>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298,104,515.10</w:t>
            </w: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2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124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赵天然女士，复旦大学经济学（数理经济方向）学士；复旦大学国际经济学硕士。具有8年固定收益领域投资交易经验。自2015年8月加入兴业银行以来，一直在资产管理事业部任投资经理，债券交易量近数千亿，交易能力出众；牵头固定收益投资部的利率债交易盘和信用债二级投资，擅长利率债波段和信用债价值挖掘；牵头固定收益投资部的宏观利率研究工作，对债券市场走势有深刻的理解。</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72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2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592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一、2022年三季度投资策略与运作回顾</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2022年三季度债券收益率先下后上，呈V形走势。7月在疫情点状爆发、地产风波持续的影响下，经济修复预期转弱，市场避险情绪升温，叠加资金面宽松，债市整体震荡收涨，曲线小幅走陡，10年期国债收益率从2.85%附近下降至2.75%附近。8月资金面保持充裕，经济修复预期仍弱，央行意外降息打开利率下行空间，10年期国债收益率从月初的2.75%左右下行至2.62%附近。9月海外货币政策收紧，美元指数大涨、人民币汇率贬值，国内经济高频数据出现回暖迹象，稳增长与宽信用政策陆续出台，长短端利率震荡上行，10年期国债收益率从月初的2.62%左右上行至月末突破2.75%。</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产品运作方面，考虑到偏松的货币政策、较弱的经济基本面预期、多地散发的疫情等因素，三季度整体加大了对久期策略的运用，7-8月中旬稳步提升产品平均久期，并在9月后逐步换仓止盈。在券种具体操作方面，主要跟踪利差的变动，进行积极调仓，从信用利差、期限利差等多角度为组合增厚投资收益。</w:t>
            </w:r>
            <w:r>
              <w:rPr>
                <w:rFonts w:ascii="宋体" w:hAnsi="宋体" w:eastAsia="宋体" w:cs="宋体"/>
                <w:color w:val="000000"/>
                <w:sz w:val="21"/>
              </w:rPr>
              <w:br w:type="textWrapping"/>
            </w:r>
            <w:r>
              <w:rPr>
                <w:rFonts w:ascii="宋体" w:hAnsi="宋体" w:eastAsia="宋体" w:cs="宋体"/>
                <w:color w:val="000000"/>
                <w:sz w:val="21"/>
              </w:rPr>
              <w:t>二、四季度投资策略</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宏观经济方面，近期增量政策持续发力。9月地产放松政策频繁出台，地产销售情况也有所好转。预计四季度社融下行趋势放缓，经济基本面存在企稳可能。短期来看，稳增长宽信用政策不断发力，债市震荡调整行情可能持续；中期来看，在防疫政策保持严格、消费复苏偏弱、地产放松政策效果有待观察的环境下，资金面收紧概率较低，债市继续出现大幅调整的可能性也较低，预计仍将保持震荡行情，继续在合理范围进行动态操作。</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基于上述对后市的判断，产品将继续保持稳健的投资风格。1、整体以久期和杠杆策略为主，如遇明显调整可将久期和杠杆调整至合意偏高的水平，审慎使用信用下沉策略。2、利率债优于信用债。3、资本债品种波动性较前期明显下降，且信用风险低、票息更高，可择机配置。4、关注“稳增长”政策加码、海外市场波动对债市的风险。</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58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p>
            <w:pPr>
              <w:pStyle w:val="4"/>
            </w:pPr>
          </w:p>
        </w:tc>
        <w:tc>
          <w:tcPr>
            <w:gridSpan w:val="20"/>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2"/>
          <w:wAfter w:w="20" w:type="dxa"/>
          <w:trHeight w:val="130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p>
            <w:pPr>
              <w:pStyle w:val="4"/>
            </w:pPr>
          </w:p>
        </w:tc>
        <w:tc>
          <w:tcPr>
            <w:gridSpan w:val="4"/>
          </w:tcPr>
          <w:p>
            <w:pPr>
              <w:pStyle w:val="4"/>
            </w:pPr>
          </w:p>
        </w:tc>
        <w:tc>
          <w:tcPr>
            <w:gridSpan w:val="2"/>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0" w:hRule="atLeast"/>
        </w:trPr>
        <w:tc>
          <w:p>
            <w:pPr>
              <w:pStyle w:val="4"/>
              <w:pageBreakBefore/>
            </w:pPr>
            <w:bookmarkStart w:id="4" w:name="JR_PAGE_ANCHOR_0_5"/>
            <w:bookmarkEnd w:id="4"/>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兴银理财财智人生ESG1号净值型理财产品2022年第三季度报告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400" w:hRule="exact"/>
        </w:trPr>
        <w:tc>
          <w:p>
            <w:pPr>
              <w:pStyle w:val="4"/>
            </w:pPr>
          </w:p>
        </w:tc>
        <w:tc>
          <w:p>
            <w:pPr>
              <w:pStyle w:val="4"/>
            </w:pPr>
          </w:p>
        </w:tc>
        <w:tc>
          <w:tcPr>
            <w:gridSpan w:val="20"/>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15.43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84.57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9"/>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100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9"/>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58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w:t>
            </w:r>
            <w:r>
              <w:rPr>
                <w:rFonts w:hint="eastAsia" w:ascii="宋体" w:hAnsi="宋体" w:eastAsia="宋体" w:cs="宋体"/>
                <w:color w:val="000000"/>
                <w:sz w:val="21"/>
                <w:lang w:val="en-US" w:eastAsia="zh-CN"/>
              </w:rPr>
              <w:t xml:space="preserve"> </w:t>
            </w:r>
            <w:r>
              <w:rPr>
                <w:rFonts w:ascii="宋体" w:hAnsi="宋体" w:eastAsia="宋体" w:cs="宋体"/>
                <w:color w:val="000000"/>
                <w:sz w:val="21"/>
              </w:rPr>
              <w:t>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bookmarkStart w:id="7" w:name="_GoBack"/>
            <w:bookmarkEnd w:id="7"/>
            <w:r>
              <w:rPr>
                <w:rFonts w:ascii="宋体" w:hAnsi="宋体" w:eastAsia="宋体" w:cs="宋体"/>
                <w:color w:val="000000"/>
                <w:sz w:val="21"/>
              </w:rPr>
              <w:t>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50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9"/>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40" w:hRule="exact"/>
        </w:trPr>
        <w:tc>
          <w:p>
            <w:pPr>
              <w:pStyle w:val="4"/>
            </w:pPr>
          </w:p>
        </w:tc>
        <w:tc>
          <w:tcPr>
            <w:gridSpan w:val="19"/>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工商银行活期存款</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6.71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19重庆交投MTN002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15,512,715.00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5.20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20武夷投资PPN001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10,283,200.00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3.45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21宜春01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10,267,480.00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3.44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21莆田国资PPN001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10,256,380.00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3.44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21浙兴合MTN001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10,250,870.00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3.44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21淮安新城MTN002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10,246,840.00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3.44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20邳州润城MTN001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10,236,680.00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3.43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21滨江城建PPN003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10,233,840.00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3.43</w:t>
                        </w:r>
                      </w:p>
                    </w:tc>
                  </w:tr>
                </w:tbl>
                <w:p>
                  <w:pPr>
                    <w:pStyle w:val="4"/>
                  </w:pPr>
                </w:p>
              </w:tc>
            </w:tr>
          </w:tbl>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2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p>
            <w:pPr>
              <w:pStyle w:val="4"/>
            </w:pPr>
          </w:p>
        </w:tc>
        <w:tc>
          <w:tcPr>
            <w:gridSpan w:val="6"/>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兴银理财财智人生ESG1号净值型理财产品2022年第三季度报告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9"/>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21武汉碧水GN001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10,217,260.00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3.43</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94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9"/>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5"/>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4"/>
          </w:tcPr>
          <w:p>
            <w:pPr>
              <w:pStyle w:val="4"/>
            </w:pPr>
          </w:p>
        </w:tc>
        <w:tc>
          <w:p>
            <w:pPr>
              <w:pStyle w:val="4"/>
            </w:pPr>
          </w:p>
        </w:tc>
      </w:tr>
      <w:tr>
        <w:tblPrEx>
          <w:tblCellMar>
            <w:top w:w="0" w:type="dxa"/>
            <w:left w:w="10" w:type="dxa"/>
            <w:bottom w:w="0" w:type="dxa"/>
            <w:right w:w="10" w:type="dxa"/>
          </w:tblCellMar>
        </w:tblPrEx>
        <w:trPr>
          <w:trHeight w:val="54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9K220901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20青岛水务GN001（蓝债）</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9K220901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20武夷投资PPN001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9K220901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21滨江城建PPN003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9K220901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21国能江苏MTN001(碳中和债）</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9K220901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21南电GN001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9K220901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21武汉碧水GN001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9K220901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22生产兵团MTN001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9K220901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22铜陵建投GN001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5"/>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5"/>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1"/>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21"/>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051010100101090412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兴银理财财智人生ESG1号净值型理财产品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150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3"/>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6" w:name="JR_PAGE_ANCHOR_0_7"/>
            <w:bookmarkEnd w:id="6"/>
          </w:p>
        </w:tc>
        <w:tc>
          <w:tcPr>
            <w:gridSpan w:val="7"/>
          </w:tcPr>
          <w:p>
            <w:pPr>
              <w:pStyle w:val="4"/>
            </w:pPr>
          </w:p>
        </w:tc>
        <w:tc>
          <w:tcPr>
            <w:gridSpan w:val="4"/>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兴银理财财智人生ESG1号净值型理财产品2022年第三季度报告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7"/>
          </w:tcPr>
          <w:p>
            <w:pPr>
              <w:pStyle w:val="4"/>
            </w:pPr>
          </w:p>
        </w:tc>
        <w:tc>
          <w:tcPr>
            <w:gridSpan w:val="4"/>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400" w:hRule="exact"/>
        </w:trPr>
        <w:tc>
          <w:p>
            <w:pPr>
              <w:pStyle w:val="4"/>
            </w:pPr>
          </w:p>
        </w:tc>
        <w:tc>
          <w:tcPr>
            <w:gridSpan w:val="7"/>
          </w:tcPr>
          <w:p>
            <w:pPr>
              <w:pStyle w:val="4"/>
            </w:pPr>
          </w:p>
        </w:tc>
        <w:tc>
          <w:tcPr>
            <w:gridSpan w:val="4"/>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9"/>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9"/>
            <w:tcMar>
              <w:top w:w="0" w:type="dxa"/>
              <w:left w:w="0" w:type="dxa"/>
              <w:bottom w:w="0" w:type="dxa"/>
              <w:right w:w="0" w:type="dxa"/>
            </w:tcMar>
            <w:vAlign w:val="top"/>
          </w:tcPr>
          <w:p>
            <w:pPr>
              <w:jc w:val="right"/>
            </w:pPr>
            <w:r>
              <w:rPr>
                <w:rFonts w:ascii="宋体" w:hAnsi="宋体" w:eastAsia="宋体" w:cs="宋体"/>
                <w:color w:val="000000"/>
                <w:sz w:val="21"/>
              </w:rPr>
              <w:t>2022年10月26日</w:t>
            </w:r>
          </w:p>
        </w:tc>
        <w:tc>
          <w:p>
            <w:pPr>
              <w:pStyle w:val="4"/>
            </w:pPr>
          </w:p>
        </w:tc>
      </w:tr>
      <w:tr>
        <w:tblPrEx>
          <w:tblCellMar>
            <w:top w:w="0" w:type="dxa"/>
            <w:left w:w="10" w:type="dxa"/>
            <w:bottom w:w="0" w:type="dxa"/>
            <w:right w:w="10" w:type="dxa"/>
          </w:tblCellMar>
        </w:tblPrEx>
        <w:trPr>
          <w:gridAfter w:val="4"/>
          <w:wAfter w:w="40" w:type="dxa"/>
          <w:trHeight w:val="13600" w:hRule="exact"/>
        </w:trPr>
        <w:tc>
          <w:p>
            <w:pPr>
              <w:pStyle w:val="4"/>
            </w:pPr>
          </w:p>
        </w:tc>
        <w:tc>
          <w:tcPr>
            <w:gridSpan w:val="7"/>
          </w:tcPr>
          <w:p>
            <w:pPr>
              <w:pStyle w:val="4"/>
            </w:pPr>
          </w:p>
        </w:tc>
        <w:tc>
          <w:tcPr>
            <w:gridSpan w:val="4"/>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7"/>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6"/>
          </w:tcPr>
          <w:p>
            <w:pPr>
              <w:pStyle w:val="4"/>
            </w:pPr>
          </w:p>
        </w:tc>
        <w:tc>
          <w:p>
            <w:pPr>
              <w:pStyle w:val="4"/>
            </w:pPr>
          </w:p>
        </w:tc>
      </w:tr>
    </w:tbl>
    <w:p/>
    <w:sectPr>
      <w:pgSz w:w="11900" w:h="16840"/>
      <w:pgMar w:top="600" w:right="600" w:bottom="240" w:left="600"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800"/>
  <w:compat>
    <w:useFELayout/>
    <w:splitPgBreakAndParaMark/>
    <w:compatSetting w:name="compatibilityMode" w:uri="http://schemas.microsoft.com/office/word" w:val="12"/>
  </w:compat>
  <w:rsids>
    <w:rsidRoot w:val="00000000"/>
    <w:rsid w:val="2ECB70C3"/>
    <w:rsid w:val="34885A6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Office_11.8.2.8959_F1E327BC-269C-435d-A152-05C5408002CA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2022-10-21T07:20:00Z</dcterms:created>
  <dc:creator>cib</dc:creator>
  <cp:lastModifiedBy>cib</cp:lastModifiedBy>
  <dcterms:modified xsi:type="dcterms:W3CDTF">2022-10-21T11:37:13Z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