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兴银理财ESG兴动未来1号净值型理财产品2022年第三季度报告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兴银理财ESG兴动未来1号净值型理财产品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兴银理财ESG兴动未来1号净值型理财产品2022年第三季度报告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兴银理财ESG兴动未来1号净值型理财产品2022年第三季度报告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兴银理财ESG兴动未来1号净值型理财产品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9K221501</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Z7002021000149</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813,595,609.55份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-/4.60%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产品9K221501自成立日以来，累计净值增长率为4.5000%，年化累计净值增长率为3.5784%。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兴银理财ESG兴动未来1号净值型理财产品2022年第三季度报告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1.04500</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1.04500</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850,206,226.79</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5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92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一、市场回顾及市场展望。</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首先，宏观层面只能说是魔幻的2022年，百年未有之大变局，只能感叹自身的无知与不足。从周期角度，当前可能处于本轮60年康波周期的萧条期起点，10年周期维度，出现滞涨风险的可能性在提升，3年短周期的角度，处于库存周期的下行期中期，但是本轮库存周期较弱，类似于2012-2013年的周期转化。</w:t>
            </w:r>
            <w:r>
              <w:rPr>
                <w:rFonts w:ascii="宋体" w:hAnsi="宋体" w:eastAsia="宋体" w:cs="宋体"/>
                <w:color w:val="000000"/>
                <w:sz w:val="21"/>
              </w:rPr>
              <w:br w:type="textWrapping"/>
            </w:r>
            <w:r>
              <w:rPr>
                <w:rFonts w:ascii="宋体" w:hAnsi="宋体" w:eastAsia="宋体" w:cs="宋体"/>
                <w:color w:val="000000"/>
                <w:sz w:val="21"/>
              </w:rPr>
              <w:t>拉回短视角，看2022年的各个市场。债券市场，今年宽货币、宽信用的主线不变，债券市场相对友好，整体处于震荡下行趋势中，短期在看不到地产政策及防疫政策调整之前，维持上述判断。权益市场，处于底部区间，消费、价值及传统行业均处于基本面及估值的相对底部，下行空间有限，成长、资源品景气在，估值贵，进一步上涨动能不足；节奏上，底部企稳一波三折，4月末以来的上行可能阶段性告一段落，后续需要数据上或政策上的催化剂；风格上，伴随能源革命及中国产业升级的大背景，本轮权益的主线应该还是在科技、高端制造、新能源等成长行业中。</w:t>
            </w:r>
            <w:r>
              <w:rPr>
                <w:rFonts w:ascii="宋体" w:hAnsi="宋体" w:eastAsia="宋体" w:cs="宋体"/>
                <w:color w:val="000000"/>
                <w:sz w:val="21"/>
              </w:rPr>
              <w:br w:type="textWrapping"/>
            </w:r>
            <w:r>
              <w:rPr>
                <w:rFonts w:ascii="宋体" w:hAnsi="宋体" w:eastAsia="宋体" w:cs="宋体"/>
                <w:color w:val="000000"/>
                <w:sz w:val="21"/>
              </w:rPr>
              <w:t>二、组合策略。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兴动未来1号采用高仓位债券资产，久期1.5-2.0年；权益仓位低于10%，结构中，整体配置较为均衡，成长板块，维持高景气赛道绿色产业（即储能、光伏、风电）、汽车智能化的配置比例，均配周期价值等低估值板块，增加了中小盘、农业、可选消费、医药等行业配置比例，提升组合均衡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19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兴银理财ESG兴动未来1号净值型理财产品2022年第三季度报告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62.08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贵阳市工商产业投资集团有限公司可转债优先配售融资业务（0.7亿）</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70,025,480.00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22潍坊城建01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63,016,065.00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22中国信达债01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50,981,250.00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万和共盈65号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50,001,450.00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49,754,382.99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5.85</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兴银理财ESG兴动未来1号净值型理财产品2022年第三季度报告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21国债16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43,023,435.00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21华福C2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40,925,600.00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22绍专01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40,711,640.00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21泉城03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40,639,720.00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20筑城01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40,116,600.00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4.72</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9K221501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9K221501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20盐城资产MTN001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9K221501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20云能投MTN003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9K221501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21淮安交通PPN001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9K221501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21江津城建MTN001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9K221501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21徐州兴铜PPN001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9K221501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22靖江城投CP001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9K221501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22中国信达债01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14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兴银理财ESG兴动未来1号净值型理财产品2022年第三季度报告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051010100101221547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兴银理财ESG兴动未来1号净值型理财产品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9EC67C0"/>
    <w:rsid w:val="42AB4204"/>
    <w:rsid w:val="4708491E"/>
    <w:rsid w:val="61C405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2022-10-21T05:49:00Z</dcterms:created>
  <dc:creator>User</dc:creator>
  <cp:lastModifiedBy>cib</cp:lastModifiedBy>
  <dcterms:modified xsi:type="dcterms:W3CDTF">2022-10-21T12:16:39Z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