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480"/>
        <w:gridCol w:w="100"/>
        <w:gridCol w:w="100"/>
        <w:gridCol w:w="1"/>
        <w:gridCol w:w="19"/>
        <w:gridCol w:w="1"/>
        <w:gridCol w:w="19"/>
        <w:gridCol w:w="1"/>
        <w:gridCol w:w="119"/>
        <w:gridCol w:w="1"/>
        <w:gridCol w:w="139"/>
        <w:gridCol w:w="1"/>
      </w:tblGrid>
      <w:tr>
        <w:tblPrEx>
          <w:tblCellMar>
            <w:top w:w="0" w:type="dxa"/>
            <w:left w:w="10" w:type="dxa"/>
            <w:bottom w:w="0" w:type="dxa"/>
            <w:right w:w="10" w:type="dxa"/>
          </w:tblCellMar>
        </w:tblPrEx>
        <w:trPr>
          <w:gridAfter w:val="8"/>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兴业银行添利3号净值型理财产品2022年第三季度报告</w:t>
            </w: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兴业银行添利3号净值型理财产品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8"/>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8"/>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兴业银行添利3号净值型理财产品2022年第三季度报告</w:t>
            </w: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6840" w:hRule="atLeast"/>
        </w:trPr>
        <w:tc>
          <w:p>
            <w:pPr>
              <w:pStyle w:val="4"/>
            </w:pPr>
          </w:p>
        </w:tc>
        <w:tc>
          <w:tcPr>
            <w:gridSpan w:val="3"/>
          </w:tcPr>
          <w:p>
            <w:pPr>
              <w:pStyle w:val="4"/>
            </w:pPr>
          </w:p>
        </w:tc>
        <w:tc>
          <w:tcPr>
            <w:gridSpan w:val="10"/>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兴业银行添利3号净值型理财产品2022年第三季度报告</w:t>
            </w: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8"/>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8"/>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8"/>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兴业银行添利3号净值型理财产品</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90318012</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Z7002020000003</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34,406,626,222.52份</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3.50%</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8"/>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添利日日生金（新客专属）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91318012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12,570,329,377.51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添利日日生金（代发/平台专属）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91318013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4,088,712,804.00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添利兴财付</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91318014</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1,107,710,716.96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3" w:name="JR_PAGE_ANCHOR_0_4"/>
            <w:bookmarkEnd w:id="3"/>
          </w:p>
        </w:tc>
        <w:tc>
          <w:tcPr>
            <w:gridSpan w:val="6"/>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兴业银行添利3号净值型理财产品2022年第三季度报告</w:t>
            </w: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30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添利日添金</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91318015</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41,936,064.38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添利私享</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91318016</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1,665,385,192.86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添利日日鑫</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91318017</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2,936,369,495.01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添利小微</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9B319011</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11,996,182,571.80</w:t>
                        </w:r>
                      </w:p>
                    </w:tc>
                  </w:tr>
                </w:tbl>
                <w:p>
                  <w:pPr>
                    <w:pStyle w:val="4"/>
                  </w:pPr>
                </w:p>
              </w:tc>
            </w:tr>
          </w:tbl>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3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3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900" w:hRule="atLeast"/>
        </w:trPr>
        <w:tc>
          <w:p>
            <w:pPr>
              <w:pStyle w:val="4"/>
            </w:pPr>
          </w:p>
        </w:tc>
        <w:tc>
          <w:tcPr>
            <w:gridSpan w:val="15"/>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 xml:space="preserve">    报告期内，91318012七日年化收益率均值2.5877%，91318013七日年化收益率均值2.5877%，91318014七日年化收益率均值2.4317%，91318015七日年化收益率均值2.4323%，91318016七日年化收益率均值2.5862%，91318017七日年化收益率均值2.5873%，9B319011七日年化收益率均值2.5884%。同期业绩比较基准如下：</w:t>
            </w: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16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5400" w:hRule="exact"/>
        </w:trPr>
        <w:tc>
          <w:p>
            <w:pPr>
              <w:pStyle w:val="4"/>
            </w:pPr>
          </w:p>
        </w:tc>
        <w:tc>
          <w:tcPr>
            <w:gridSpan w:val="14"/>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2022-07-01至2022-09-30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3.50%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91318012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2022-07-01至2022-09-30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1.35%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91318013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2022-07-01至2022-09-30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3.50%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91318014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2022-07-01至2022-09-30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91318015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2022-07-01至2022-09-30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91318016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2022-07-01至2022-09-30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91318017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2022-07-01至2022-09-30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9B319011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2022-07-01至2022-09-30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21"/>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r>
      <w:tr>
        <w:tblPrEx>
          <w:tblCellMar>
            <w:top w:w="0" w:type="dxa"/>
            <w:left w:w="10" w:type="dxa"/>
            <w:bottom w:w="0" w:type="dxa"/>
            <w:right w:w="10" w:type="dxa"/>
          </w:tblCellMar>
        </w:tblPrEx>
        <w:trPr>
          <w:gridAfter w:val="2"/>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2200"/>
              <w:gridCol w:w="1800"/>
              <w:gridCol w:w="2000"/>
              <w:gridCol w:w="27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万份收益</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七日年化收益率</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0.6229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34,406,626,222.52</w:t>
                        </w:r>
                      </w:p>
                    </w:tc>
                  </w:tr>
                </w:tbl>
                <w:p>
                  <w:pPr>
                    <w:pStyle w:val="4"/>
                  </w:pPr>
                </w:p>
              </w:tc>
            </w:tr>
          </w:tbl>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2200"/>
              <w:gridCol w:w="1800"/>
              <w:gridCol w:w="2000"/>
              <w:gridCol w:w="27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万份收益</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七日年化收益率</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0.6242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12,570,329,377.51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91318013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0.6243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4,088,712,804.00</w:t>
                        </w:r>
                      </w:p>
                    </w:tc>
                  </w:tr>
                </w:tbl>
                <w:p>
                  <w:pPr>
                    <w:pStyle w:val="4"/>
                  </w:pPr>
                </w:p>
              </w:tc>
            </w:tr>
          </w:tbl>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54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3"/>
          </w:tcPr>
          <w:p>
            <w:pPr>
              <w:pStyle w:val="4"/>
            </w:pPr>
          </w:p>
        </w:tc>
        <w:tc>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6"/>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2200"/>
              <w:gridCol w:w="1800"/>
              <w:gridCol w:w="2000"/>
              <w:gridCol w:w="27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万份收益</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七日年化收益率</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91318014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0.5812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2.2460%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1,107,710,716.96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91318015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0.5816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41,936,064.38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91318016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0.6202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1,665,385,192.86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91318017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0.6235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2,936,369,495.01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0.6254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11,996,182,571.80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1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2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90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懿女士，北京大学理学、经济学双学士、金融硕士，5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p>
            <w:pPr>
              <w:pStyle w:val="4"/>
            </w:pPr>
          </w:p>
        </w:tc>
      </w:tr>
      <w:tr>
        <w:tblPrEx>
          <w:tblCellMar>
            <w:top w:w="0" w:type="dxa"/>
            <w:left w:w="10" w:type="dxa"/>
            <w:bottom w:w="0" w:type="dxa"/>
            <w:right w:w="10" w:type="dxa"/>
          </w:tblCellMar>
        </w:tblPrEx>
        <w:trPr>
          <w:gridAfter w:val="6"/>
          <w:trHeight w:val="6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1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79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 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三季度经济和融资有边际改善，但扩张基础仍然不牢固，“三重压力”背景下，基建对基本面形成一定支撑，但疫情反复、地产扰动和出口压力形成拖累。货币政策强化跨周期和逆周期调节，加大稳健货币政策实施力度，政策性开发性金融工具发力支持基建，资金利率低位运行。市场在弱基本面+弱修复现实下，围绕资金面和增量政策下基本面修复展开定价。7月跨季后资金面超预期宽松叠加社融塌方，经济修复不及预期，债市整体震荡下行。8月上旬增量信息有限，10年期国债窄幅震荡，8月15日MLF降息点燃市场做多行情，10年期国债收益率下探至年内低点2.58%，后在宽预期、止盈情绪和外围压力下震荡回升。随后经济数据印证复苏逻辑，9月资金面收敛预期再起，MLF继续缩量、税期及季末节前季节性因素和外围扰动下货币政策面临内外均衡制约等因素推动利率上行，短端调整幅度大于长端，曲线略走平。</w:t>
            </w:r>
            <w:r>
              <w:rPr>
                <w:rFonts w:ascii="宋体" w:hAnsi="宋体" w:eastAsia="宋体" w:cs="宋体"/>
                <w:color w:val="000000"/>
                <w:sz w:val="21"/>
              </w:rPr>
              <w:br w:type="textWrapping"/>
            </w:r>
            <w:r>
              <w:rPr>
                <w:rFonts w:ascii="宋体" w:hAnsi="宋体" w:eastAsia="宋体" w:cs="宋体"/>
                <w:color w:val="000000"/>
                <w:sz w:val="21"/>
              </w:rPr>
              <w:t xml:space="preserve">    展望后市，四季度大概率仍将延续内需偏弱+外需下行的格局，稳增长接续政策的效果和持续性对需求端有所支撑，内需数据有望延续偏弱修复格局；但出口拐头向下趋势下外需承压。若无增量政策等超预期变量，基本面短期难言趋势性的改变。在此背景下，货币政策“以我为主”的基调明确，预计四季度央行仍然会延续宽松的货币政策，通过降成本推进宽信用，直至社融出现趋势性向好。市场方面，当前利率绝对和相对水平均处于历史低位，同时外围的压力也影响着利率波动区间下限；经济弱修复但底层矛盾未解，流动性充裕的局面下利率亦不具备大幅上行的条件，预计四季度债券市场整体以窄幅震荡为主。</w:t>
            </w:r>
            <w:r>
              <w:rPr>
                <w:rFonts w:ascii="宋体" w:hAnsi="宋体" w:eastAsia="宋体" w:cs="宋体"/>
                <w:color w:val="000000"/>
                <w:sz w:val="21"/>
              </w:rPr>
              <w:br w:type="textWrapping"/>
            </w:r>
            <w:r>
              <w:rPr>
                <w:rFonts w:ascii="宋体" w:hAnsi="宋体" w:eastAsia="宋体" w:cs="宋体"/>
                <w:color w:val="000000"/>
                <w:sz w:val="21"/>
              </w:rPr>
              <w:t>二 前期运作回顾</w:t>
            </w:r>
            <w:r>
              <w:rPr>
                <w:rFonts w:ascii="宋体" w:hAnsi="宋体" w:eastAsia="宋体" w:cs="宋体"/>
                <w:color w:val="000000"/>
                <w:sz w:val="21"/>
              </w:rPr>
              <w:br w:type="textWrapping"/>
            </w:r>
            <w:r>
              <w:rPr>
                <w:rFonts w:ascii="宋体" w:hAnsi="宋体" w:eastAsia="宋体" w:cs="宋体"/>
                <w:color w:val="000000"/>
                <w:sz w:val="21"/>
              </w:rPr>
              <w:t xml:space="preserve">    本产品始终将保持流动性安全和防范信用风险作为第一要务，在此基础上通过稳健的投资风格实现相对稳定的收益。报告期内，本产品按照《关于规范现金管理类理财产品管理有关事项的通知》的要求，平稳、合规运作。资产配置方面，在三季度流动性宽松、短端收益率中枢进一步下探的情况下本产品适度提高组合弹性，合理控制新增资产久期，积极把握市场阶段高点的买入机会，主要配置了同业存单、存放、高等级信用债和ABS等品种，兼顾流动性和收益性；同时维持中性偏短杠杆水平增厚收益。报告期内本产品规模稳定，收益较同业同类产品保持了一定竞争力。</w:t>
            </w:r>
            <w:r>
              <w:rPr>
                <w:rFonts w:ascii="宋体" w:hAnsi="宋体" w:eastAsia="宋体" w:cs="宋体"/>
                <w:color w:val="000000"/>
                <w:sz w:val="21"/>
              </w:rPr>
              <w:br w:type="textWrapping"/>
            </w:r>
            <w:r>
              <w:rPr>
                <w:rFonts w:ascii="宋体" w:hAnsi="宋体" w:eastAsia="宋体" w:cs="宋体"/>
                <w:color w:val="000000"/>
                <w:sz w:val="21"/>
              </w:rPr>
              <w:t>三 后期投资策略</w:t>
            </w:r>
            <w:r>
              <w:rPr>
                <w:rFonts w:ascii="宋体" w:hAnsi="宋体" w:eastAsia="宋体" w:cs="宋体"/>
                <w:color w:val="000000"/>
                <w:sz w:val="21"/>
              </w:rPr>
              <w:br w:type="textWrapping"/>
            </w:r>
            <w:r>
              <w:rPr>
                <w:rFonts w:ascii="宋体" w:hAnsi="宋体" w:eastAsia="宋体" w:cs="宋体"/>
                <w:color w:val="000000"/>
                <w:sz w:val="21"/>
              </w:rPr>
              <w:t xml:space="preserve">    四季度，本产品仍然会坚持以安全性和流动性优先、兼顾收益性的稳健策略，综合考量各类资产的风险收益特</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兴业银行添利3号净值型理财产品2022年第三季度报告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征，根据市场情况灵活把握投资节奏。在即将到来的年末关键时点，提前布局产品流动性，保障产品运作安全。同时，我们会按照《关于规范现金管理类理财产品管理有关事项的通知》的相关要求，持续动态监控产品投资组合，保障产品合规、平稳地运作。</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34.71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8.74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56.55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58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9" w:name="_GoBack"/>
            <w:bookmarkEnd w:id="9"/>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trHeight w:val="24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工商银行杭州分行定期存款20220901001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工商银行杭州分行定期存款20220729001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2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新华资产-明鑫一号资产管理产品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1,087,604,766.63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1,000,001,120.00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农业银行上海分行活期存款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21长沙银行CD248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998,434,900.10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中国银行大额存单20200508001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699,981,690.59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699,981,012.40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9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14宿产发MTN001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17滁州城投MTN002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17陕煤化MTN004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17徐新国资MTN002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18华润置地MTN002B</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19川能投MTN004A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19金圆投资MTN001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19鲁黄金MTN008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19中国华融债01(品种一)</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20鄂长投MTN003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20杭金投MTN003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20汇金MTN009A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20江北新区MTN002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20金地MTN004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0" w:hRule="atLeast"/>
        </w:trPr>
        <w:tc>
          <w:p>
            <w:pPr>
              <w:pStyle w:val="4"/>
              <w:pageBreakBefore/>
            </w:pPr>
            <w:bookmarkStart w:id="7" w:name="JR_PAGE_ANCHOR_0_8"/>
            <w:bookmarkEnd w:id="7"/>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兴业银行添利3号净值型理财产品2022年第三季度报告</w:t>
            </w: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trHeight w:val="11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20金圆投资MTN002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20科伦(疫情防控债)MTN001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20鲁能源MTN003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20泉州城建MTN001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20穗自来水MTN002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20镇江城建MTN004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21泉州城建MTN001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21太湖新城CP004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21一方绿城ABN005优先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21溧阳城建PPN001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22鄂交投SCP002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22杭金投SCP001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22杭实投SCP001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22青岛地铁SCP001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22青岛西海SCP002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22泉州交通SCP005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22乌经开CP001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22湘高速CP002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22正泰SCP002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8"/>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8"/>
          <w:trHeight w:val="10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8" w:name="JR_PAGE_ANCHOR_0_9"/>
            <w:bookmarkEnd w:id="8"/>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兴业银行添利3号净值型理财产品2022年第三季度报告</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051010100100803960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兴业理财托管专户添利3号净值型理财产品</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3"/>
            <w:tcMar>
              <w:top w:w="0" w:type="dxa"/>
              <w:left w:w="0" w:type="dxa"/>
              <w:bottom w:w="0" w:type="dxa"/>
              <w:right w:w="0" w:type="dxa"/>
            </w:tcMar>
            <w:vAlign w:val="center"/>
          </w:tcPr>
          <w:p>
            <w:pPr>
              <w:jc w:val="left"/>
            </w:pPr>
            <w:r>
              <w:rPr>
                <w:rFonts w:ascii="宋体" w:hAnsi="宋体" w:eastAsia="宋体" w:cs="宋体"/>
                <w:b/>
                <w:color w:val="000000"/>
                <w:sz w:val="21"/>
              </w:rPr>
              <w:t>7.影响理财份额投资人决策的其他重要信息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3"/>
            <w:tcMar>
              <w:top w:w="0" w:type="dxa"/>
              <w:left w:w="0" w:type="dxa"/>
              <w:bottom w:w="0" w:type="dxa"/>
              <w:right w:w="0" w:type="dxa"/>
            </w:tcMar>
            <w:vAlign w:val="center"/>
          </w:tcPr>
          <w:p>
            <w:pPr>
              <w:jc w:val="left"/>
            </w:pPr>
            <w:r>
              <w:rPr>
                <w:rFonts w:ascii="宋体" w:hAnsi="宋体" w:eastAsia="宋体" w:cs="宋体"/>
                <w:color w:val="000000"/>
                <w:sz w:val="20"/>
              </w:rPr>
              <w:t xml:space="preserve"> 7.1报告期内单一投资者持有产品份额达到或者超过该产品总份额20%的情形</w:t>
            </w: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3"/>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blPrEx>
                <w:tblCellMar>
                  <w:top w:w="0" w:type="dxa"/>
                  <w:left w:w="10" w:type="dxa"/>
                  <w:bottom w:w="0" w:type="dxa"/>
                  <w:right w:w="10" w:type="dxa"/>
                </w:tblCellMar>
              </w:tblPrEx>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9/</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4"/>
          </w:tcPr>
          <w:p>
            <w:pPr>
              <w:pStyle w:val="4"/>
            </w:pPr>
          </w:p>
        </w:tc>
        <w:tc>
          <w:tcPr>
            <w:gridSpan w:val="4"/>
          </w:tcPr>
          <w:p>
            <w:pPr>
              <w:pStyle w:val="4"/>
            </w:pPr>
          </w:p>
        </w:tc>
        <w:tc>
          <w:tcPr>
            <w:gridSpan w:val="4"/>
          </w:tcPr>
          <w:p>
            <w:pPr>
              <w:pStyle w:val="4"/>
            </w:pPr>
          </w:p>
        </w:tc>
        <w:tc>
          <w:p>
            <w:pPr>
              <w:pStyle w:val="4"/>
            </w:pPr>
          </w:p>
        </w:tc>
      </w:tr>
    </w:tbl>
    <w:p/>
    <w:sectPr>
      <w:pgSz w:w="11900" w:h="16840"/>
      <w:pgMar w:top="600" w:right="3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2265040D"/>
    <w:rsid w:val="2C597DC6"/>
    <w:rsid w:val="2D0B72A9"/>
    <w:rsid w:val="463C6557"/>
    <w:rsid w:val="5FBD1E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TD"/>
    <w:qFormat/>
    <w:uiPriority w:val="0"/>
    <w:pPr>
      <w:spacing w:line="240" w:lineRule="auto"/>
    </w:pPr>
    <w:rPr>
      <w:rFonts w:ascii="SansSerif" w:hAnsi="SansSerif" w:eastAsia="SansSerif" w:cs="SansSerif"/>
      <w:color w:val="000000"/>
      <w:sz w:val="20"/>
      <w:szCs w:val="22"/>
    </w:rPr>
  </w:style>
  <w:style w:type="paragraph" w:customStyle="1" w:styleId="7">
    <w:name w:val="Table_CH"/>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2022-10-21T09:02:35Z</dcterms:created>
  <dc:creator>User</dc:creator>
  <cp:lastModifiedBy>cib</cp:lastModifiedBy>
  <dcterms:modified xsi:type="dcterms:W3CDTF">2022-10-21T09:03:43Z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