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20"/>
        <w:gridCol w:w="20"/>
        <w:gridCol w:w="1360"/>
        <w:gridCol w:w="2600"/>
        <w:gridCol w:w="1400"/>
        <w:gridCol w:w="1400"/>
        <w:gridCol w:w="1200"/>
        <w:gridCol w:w="980"/>
        <w:gridCol w:w="20"/>
        <w:gridCol w:w="40"/>
        <w:gridCol w:w="160"/>
        <w:gridCol w:w="800"/>
        <w:gridCol w:w="280"/>
        <w:gridCol w:w="120"/>
        <w:gridCol w:w="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微软雅黑CD" w:hAnsi="微软雅黑CD" w:eastAsia="微软雅黑CD" w:cs="微软雅黑CD"/>
                <w:color w:val="000000"/>
                <w:sz w:val="32"/>
                <w:b w:val="true"/>
              </w:rPr>
              <w:t xml:space="preserve">兴业银行“金雪球-优悦”非保本开放式人民币理财产品(6M)(理财编号：98R17061)定期公告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微软雅黑CD" w:hAnsi="微软雅黑CD" w:eastAsia="微软雅黑CD" w:cs="微软雅黑CD"/>
                <w:color w:val="000000"/>
                <w:sz w:val="32"/>
                <w:b w:val="true"/>
              </w:rPr>
              <w:t xml:space="preserve">2022年第三季度报告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微软雅黑CD" w:hAnsi="微软雅黑CD" w:eastAsia="微软雅黑CD" w:cs="微软雅黑CD"/>
                <w:color w:val="000000"/>
                <w:sz w:val="32"/>
                <w:b w:val="true"/>
              </w:rPr>
              <w:t xml:space="preserve">2022年9月30日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微软雅黑CD" w:hAnsi="微软雅黑CD" w:eastAsia="微软雅黑CD" w:cs="微软雅黑CD"/>
                <w:color w:val="0D0201"/>
                <w:sz w:val="26"/>
                <w:b w:val="true"/>
              </w:rPr>
              <w:t xml:space="preserve">重要提示：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微软雅黑CD" w:hAnsi="微软雅黑CD" w:eastAsia="微软雅黑CD" w:cs="微软雅黑CD"/>
                <w:color w:val="FF0400"/>
                <w:sz w:val="24"/>
                <w:b w:val="true"/>
              </w:rPr>
              <w:t xml:space="preserve">1.温馨提醒：理财非存款，产品有风险，投资需谨慎！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微软雅黑CD" w:hAnsi="微软雅黑CD" w:eastAsia="微软雅黑CD" w:cs="微软雅黑CD"/>
                <w:color w:val="FF0000"/>
                <w:sz w:val="24"/>
              </w:rPr>
              <w:t xml:space="preserve">2.理财信息可供参考，详情请咨询理财经理，或在“中国理财网（www.chinawealth.com.cn）”查询该产品相关信息。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微软雅黑CD" w:hAnsi="微软雅黑CD" w:eastAsia="微软雅黑CD" w:cs="微软雅黑CD"/>
                <w:color w:val="FF0400"/>
                <w:sz w:val="24"/>
              </w:rPr>
              <w:t xml:space="preserve">3.兴业银行股份有限公司保留对所有文字说明的最终解释权。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left"/>
            </w:pPr>
            <w:r>
              <w:rPr>
                <w:rFonts w:ascii="微软雅黑CD" w:hAnsi="微软雅黑CD" w:eastAsia="微软雅黑CD" w:cs="微软雅黑CD"/>
                <w:color w:val="000000"/>
                <w:sz w:val="26"/>
                <w:b w:val="true"/>
              </w:rPr>
              <w:t xml:space="preserve">表1.产品基本信息：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微软雅黑CD" w:hAnsi="微软雅黑CD" w:eastAsia="微软雅黑CD" w:cs="微软雅黑CD"/>
                <w:color w:val="000000"/>
                <w:sz w:val="24"/>
                <w:b w:val="true"/>
              </w:rPr>
              <w:t xml:space="preserve">产品代码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微软雅黑CD" w:hAnsi="微软雅黑CD" w:eastAsia="微软雅黑CD" w:cs="微软雅黑CD"/>
                <w:color w:val="000000"/>
                <w:sz w:val="24"/>
                <w:b w:val="true"/>
              </w:rPr>
              <w:t xml:space="preserve">产品名称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微软雅黑CD" w:hAnsi="微软雅黑CD" w:eastAsia="微软雅黑CD" w:cs="微软雅黑CD"/>
                <w:color w:val="000000"/>
                <w:sz w:val="24"/>
                <w:b w:val="true"/>
              </w:rPr>
              <w:t xml:space="preserve">起息日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微软雅黑CD" w:hAnsi="微软雅黑CD" w:eastAsia="微软雅黑CD" w:cs="微软雅黑CD"/>
                <w:color w:val="000000"/>
                <w:sz w:val="24"/>
                <w:b w:val="true"/>
              </w:rPr>
              <w:t xml:space="preserve">到期日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微软雅黑CD" w:hAnsi="微软雅黑CD" w:eastAsia="微软雅黑CD" w:cs="微软雅黑CD"/>
                <w:color w:val="000000"/>
                <w:sz w:val="24"/>
                <w:b w:val="true"/>
              </w:rPr>
              <w:t xml:space="preserve">期限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微软雅黑CD" w:hAnsi="微软雅黑CD" w:eastAsia="微软雅黑CD" w:cs="微软雅黑CD"/>
                <w:color w:val="000000"/>
                <w:sz w:val="24"/>
                <w:b w:val="true"/>
              </w:rPr>
              <w:t xml:space="preserve">产品类型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微软雅黑CD" w:hAnsi="微软雅黑CD" w:eastAsia="微软雅黑CD" w:cs="微软雅黑CD"/>
                <w:color w:val="000000"/>
                <w:sz w:val="24"/>
                <w:b w:val="true"/>
              </w:rPr>
              <w:t xml:space="preserve">产品规模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8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微软雅黑CD" w:hAnsi="微软雅黑CD" w:eastAsia="微软雅黑CD" w:cs="微软雅黑CD"/>
                <w:color w:val="000000"/>
                <w:sz w:val="24"/>
              </w:rPr>
              <w:t xml:space="preserve">98R17061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微软雅黑CD" w:hAnsi="微软雅黑CD" w:eastAsia="微软雅黑CD" w:cs="微软雅黑CD"/>
                <w:color w:val="000000"/>
                <w:sz w:val="24"/>
              </w:rPr>
              <w:t xml:space="preserve">兴业银行“金雪球-优悦”非保本开放式人民币理财产品(6M)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4"/>
              </w:rPr>
              <w:t xml:space="preserve">2017年3月17日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4"/>
              </w:rPr>
              <w:t xml:space="preserve">2027年3月16日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4"/>
              </w:rPr>
              <w:t xml:space="preserve">3,651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微软雅黑CD" w:hAnsi="微软雅黑CD" w:eastAsia="微软雅黑CD" w:cs="微软雅黑CD"/>
                <w:color w:val="000000"/>
                <w:sz w:val="24"/>
              </w:rPr>
              <w:t xml:space="preserve">收益率型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4"/>
              </w:rPr>
              <w:t xml:space="preserve">673,520,000.00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微软雅黑CD" w:hAnsi="微软雅黑CD" w:eastAsia="微软雅黑CD" w:cs="微软雅黑CD"/>
                <w:color w:val="000000"/>
                <w:sz w:val="26"/>
                <w:b w:val="true"/>
              </w:rPr>
              <w:t xml:space="preserve">表2.报告期间产品收益如下表所示：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200"/>
              <w:gridCol w:w="3000"/>
              <w:gridCol w:w="3000"/>
              <w:gridCol w:w="3200"/>
            </w:tblGrid>
            <w:tr>
              <w:trPr>
                <w:trHeight w:hRule="exact" w:val="600"/>
              </w:trPr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1200"/>
                    <w:gridCol w:w="1200"/>
                  </w:tblGrid>
                  <w:tr>
                    <w:trPr>
                      <w:trHeight w:hRule="exact" w:val="600"/>
                    </w:trPr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2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center"/>
                        </w:pPr>
                        <w:r>
                          <w:rPr>
                            <w:rFonts w:ascii="微软雅黑CD" w:hAnsi="微软雅黑CD" w:eastAsia="微软雅黑CD" w:cs="微软雅黑CD"/>
                            <w:color w:val="000000"/>
                            <w:sz w:val="24"/>
                            <w:b w:val="true"/>
                          </w:rPr>
                          <w:t xml:space="preserve">序号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3000"/>
                    <w:gridCol w:w="3000"/>
                  </w:tblGrid>
                  <w:tr>
                    <w:trPr>
                      <w:trHeight w:hRule="exact" w:val="600"/>
                    </w:trPr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center"/>
                        </w:pPr>
                        <w:r>
                          <w:rPr>
                            <w:rFonts w:ascii="微软雅黑CD" w:hAnsi="微软雅黑CD" w:eastAsia="微软雅黑CD" w:cs="微软雅黑CD"/>
                            <w:color w:val="000000"/>
                            <w:sz w:val="24"/>
                            <w:b w:val="true"/>
                          </w:rPr>
                          <w:t xml:space="preserve">起始日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3000"/>
                    <w:gridCol w:w="3000"/>
                  </w:tblGrid>
                  <w:tr>
                    <w:trPr>
                      <w:trHeight w:hRule="exact" w:val="600"/>
                    </w:trPr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center"/>
                        </w:pPr>
                        <w:r>
                          <w:rPr>
                            <w:rFonts w:ascii="微软雅黑CD" w:hAnsi="微软雅黑CD" w:eastAsia="微软雅黑CD" w:cs="微软雅黑CD"/>
                            <w:color w:val="000000"/>
                            <w:sz w:val="24"/>
                            <w:b w:val="true"/>
                          </w:rPr>
                          <w:t xml:space="preserve">结束日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3200"/>
                    <w:gridCol w:w="3200"/>
                  </w:tblGrid>
                  <w:tr>
                    <w:trPr>
                      <w:trHeight w:hRule="exact" w:val="600"/>
                    </w:trPr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center"/>
                        </w:pPr>
                        <w:r>
                          <w:rPr>
                            <w:rFonts w:ascii="微软雅黑CD" w:hAnsi="微软雅黑CD" w:eastAsia="微软雅黑CD" w:cs="微软雅黑CD"/>
                            <w:color w:val="000000"/>
                            <w:sz w:val="24"/>
                            <w:b w:val="true"/>
                          </w:rPr>
                          <w:t xml:space="preserve">客户理财参考年化净收益率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600"/>
              </w:trPr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1200"/>
                    <w:gridCol w:w="1200"/>
                  </w:tblGrid>
                  <w:tr>
                    <w:trPr>
                      <w:trHeight w:hRule="exact" w:val="600"/>
                    </w:trPr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2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center"/>
                        </w:pPr>
                        <w:r>
                          <w:rPr>
                            <w:rFonts w:ascii="微软雅黑CD" w:hAnsi="微软雅黑CD" w:eastAsia="微软雅黑CD" w:cs="微软雅黑CD"/>
                            <w:color w:val="000000"/>
                            <w:sz w:val="24"/>
                          </w:rPr>
                          <w:t xml:space="preserve">1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3000"/>
                    <w:gridCol w:w="3000"/>
                  </w:tblGrid>
                  <w:tr>
                    <w:trPr>
                      <w:trHeight w:hRule="exact" w:val="600"/>
                    </w:trPr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center"/>
                        </w:pPr>
                        <w:r>
                          <w:rPr>
                            <w:rFonts w:ascii="微软雅黑CD" w:hAnsi="微软雅黑CD" w:eastAsia="微软雅黑CD" w:cs="微软雅黑CD"/>
                            <w:color w:val="000000"/>
                            <w:sz w:val="24"/>
                          </w:rPr>
                          <w:t xml:space="preserve">2022年07月01日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3000"/>
                    <w:gridCol w:w="3000"/>
                  </w:tblGrid>
                  <w:tr>
                    <w:trPr>
                      <w:trHeight w:hRule="exact" w:val="600"/>
                    </w:trPr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center"/>
                        </w:pPr>
                        <w:r>
                          <w:rPr>
                            <w:rFonts w:ascii="微软雅黑CD" w:hAnsi="微软雅黑CD" w:eastAsia="微软雅黑CD" w:cs="微软雅黑CD"/>
                            <w:color w:val="000000"/>
                            <w:sz w:val="24"/>
                          </w:rPr>
                          <w:t xml:space="preserve">2022年09月30日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3200"/>
                    <w:gridCol w:w="3200"/>
                  </w:tblGrid>
                  <w:tr>
                    <w:trPr>
                      <w:trHeight w:hRule="exact" w:val="600"/>
                    </w:trPr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center"/>
                        </w:pPr>
                        <w:r>
                          <w:rPr>
                            <w:rFonts w:ascii="微软雅黑CD" w:hAnsi="微软雅黑CD" w:eastAsia="微软雅黑CD" w:cs="微软雅黑CD"/>
                            <w:color w:val="000000"/>
                            <w:sz w:val="24"/>
                          </w:rPr>
                          <w:t xml:space="preserve">3.4500%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微软雅黑CD" w:hAnsi="微软雅黑CD" w:eastAsia="微软雅黑CD" w:cs="微软雅黑CD"/>
                <w:color w:val="000000"/>
                <w:sz w:val="26"/>
                <w:b w:val="true"/>
              </w:rPr>
              <w:t xml:space="preserve">表3.产品投资方案：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20"/>
        <w:gridCol w:w="3180"/>
        <w:gridCol w:w="2200"/>
        <w:gridCol w:w="900"/>
        <w:gridCol w:w="3980"/>
        <w:gridCol w:w="20"/>
        <w:gridCol w:w="100"/>
        <w:gridCol w:w="1"/>
      </w:tblGrid>
      <w:tr>
        <w:trPr>
          <w:trHeight w:hRule="exact" w:val="20"/>
        </w:trPr>
        <w:tc>
          <w:tcPr>
     </w:tcPr>
          <w:p>
            <w:pPr>
              <w:pStyle w:val="EMPTY_CELL_STYLE"/>
              <w:pageBreakBefore/>
            </w:pPr>
            <w:bookmarkStart w:id="1" w:name="JR_PAGE_ANCHOR_0_2"/>
            <w:bookmarkEnd w:id="1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微软雅黑CD" w:hAnsi="微软雅黑CD" w:eastAsia="微软雅黑CD" w:cs="微软雅黑CD"/>
                <w:color w:val="000000"/>
                <w:sz w:val="24"/>
                <w:b w:val="true"/>
              </w:rPr>
              <w:t xml:space="preserve">资产类型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微软雅黑CD" w:hAnsi="微软雅黑CD" w:eastAsia="微软雅黑CD" w:cs="微软雅黑CD"/>
                <w:color w:val="000000"/>
                <w:sz w:val="24"/>
                <w:b w:val="true"/>
              </w:rPr>
              <w:t xml:space="preserve">占比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微软雅黑CD" w:hAnsi="微软雅黑CD" w:eastAsia="微软雅黑CD" w:cs="微软雅黑CD"/>
                <w:color w:val="000000"/>
                <w:sz w:val="24"/>
                <w:b w:val="true"/>
              </w:rPr>
              <w:t xml:space="preserve">现金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微软雅黑CD" w:hAnsi="微软雅黑CD" w:eastAsia="微软雅黑CD" w:cs="微软雅黑CD"/>
                <w:color w:val="000000"/>
                <w:sz w:val="24"/>
              </w:rPr>
              <w:t xml:space="preserve">18.85%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微软雅黑CD" w:hAnsi="微软雅黑CD" w:eastAsia="微软雅黑CD" w:cs="微软雅黑CD"/>
                <w:color w:val="000000"/>
                <w:sz w:val="24"/>
                <w:b w:val="true"/>
              </w:rPr>
              <w:t xml:space="preserve">债券投资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微软雅黑CD" w:hAnsi="微软雅黑CD" w:eastAsia="微软雅黑CD" w:cs="微软雅黑CD"/>
                <w:color w:val="000000"/>
                <w:sz w:val="24"/>
              </w:rPr>
              <w:t xml:space="preserve">61.43%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微软雅黑CD" w:hAnsi="微软雅黑CD" w:eastAsia="微软雅黑CD" w:cs="微软雅黑CD"/>
                <w:color w:val="000000"/>
                <w:sz w:val="24"/>
                <w:b w:val="true"/>
              </w:rPr>
              <w:t xml:space="preserve">银行存款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微软雅黑CD" w:hAnsi="微软雅黑CD" w:eastAsia="微软雅黑CD" w:cs="微软雅黑CD"/>
                <w:color w:val="000000"/>
                <w:sz w:val="24"/>
              </w:rPr>
              <w:t xml:space="preserve">0.00%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微软雅黑CD" w:hAnsi="微软雅黑CD" w:eastAsia="微软雅黑CD" w:cs="微软雅黑CD"/>
                <w:color w:val="000000"/>
                <w:sz w:val="24"/>
                <w:b w:val="true"/>
              </w:rPr>
              <w:t xml:space="preserve">同业存单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微软雅黑CD" w:hAnsi="微软雅黑CD" w:eastAsia="微软雅黑CD" w:cs="微软雅黑CD"/>
                <w:color w:val="000000"/>
                <w:sz w:val="24"/>
              </w:rPr>
              <w:t xml:space="preserve">0.00%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微软雅黑CD" w:hAnsi="微软雅黑CD" w:eastAsia="微软雅黑CD" w:cs="微软雅黑CD"/>
                <w:color w:val="000000"/>
                <w:sz w:val="24"/>
                <w:b w:val="true"/>
              </w:rPr>
              <w:t xml:space="preserve">货币市场工具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微软雅黑CD" w:hAnsi="微软雅黑CD" w:eastAsia="微软雅黑CD" w:cs="微软雅黑CD"/>
                <w:color w:val="000000"/>
                <w:sz w:val="24"/>
              </w:rPr>
              <w:t xml:space="preserve">0.00%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微软雅黑CD" w:hAnsi="微软雅黑CD" w:eastAsia="微软雅黑CD" w:cs="微软雅黑CD"/>
                <w:color w:val="000000"/>
                <w:sz w:val="24"/>
                <w:b w:val="true"/>
              </w:rPr>
              <w:t xml:space="preserve">公募基金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微软雅黑CD" w:hAnsi="微软雅黑CD" w:eastAsia="微软雅黑CD" w:cs="微软雅黑CD"/>
                <w:color w:val="000000"/>
                <w:sz w:val="24"/>
              </w:rPr>
              <w:t xml:space="preserve">0.00%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微软雅黑CD" w:hAnsi="微软雅黑CD" w:eastAsia="微软雅黑CD" w:cs="微软雅黑CD"/>
                <w:color w:val="000000"/>
                <w:sz w:val="24"/>
                <w:b w:val="true"/>
              </w:rPr>
              <w:t xml:space="preserve">理财直接融资工具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微软雅黑CD" w:hAnsi="微软雅黑CD" w:eastAsia="微软雅黑CD" w:cs="微软雅黑CD"/>
                <w:color w:val="000000"/>
                <w:sz w:val="24"/>
              </w:rPr>
              <w:t xml:space="preserve">0.00%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微软雅黑CD" w:hAnsi="微软雅黑CD" w:eastAsia="微软雅黑CD" w:cs="微软雅黑CD"/>
                <w:color w:val="000000"/>
                <w:sz w:val="24"/>
                <w:b w:val="true"/>
              </w:rPr>
              <w:t xml:space="preserve">信贷资产流转项目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微软雅黑CD" w:hAnsi="微软雅黑CD" w:eastAsia="微软雅黑CD" w:cs="微软雅黑CD"/>
                <w:color w:val="000000"/>
                <w:sz w:val="24"/>
              </w:rPr>
              <w:t xml:space="preserve">0.00%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微软雅黑CD" w:hAnsi="微软雅黑CD" w:eastAsia="微软雅黑CD" w:cs="微软雅黑CD"/>
                <w:color w:val="000000"/>
                <w:sz w:val="24"/>
                <w:b w:val="true"/>
              </w:rPr>
              <w:t xml:space="preserve">权益类资产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微软雅黑CD" w:hAnsi="微软雅黑CD" w:eastAsia="微软雅黑CD" w:cs="微软雅黑CD"/>
                <w:color w:val="000000"/>
                <w:sz w:val="24"/>
              </w:rPr>
              <w:t xml:space="preserve">16.31%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微软雅黑CD" w:hAnsi="微软雅黑CD" w:eastAsia="微软雅黑CD" w:cs="微软雅黑CD"/>
                <w:color w:val="000000"/>
                <w:sz w:val="24"/>
                <w:b w:val="true"/>
              </w:rPr>
              <w:t xml:space="preserve">非标准化债权资产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微软雅黑CD" w:hAnsi="微软雅黑CD" w:eastAsia="微软雅黑CD" w:cs="微软雅黑CD"/>
                <w:color w:val="000000"/>
                <w:sz w:val="24"/>
              </w:rPr>
              <w:t xml:space="preserve">3.41%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微软雅黑CD" w:hAnsi="微软雅黑CD" w:eastAsia="微软雅黑CD" w:cs="微软雅黑CD"/>
                <w:color w:val="000000"/>
                <w:sz w:val="24"/>
                <w:b w:val="true"/>
              </w:rPr>
              <w:t xml:space="preserve">其他类资产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微软雅黑CD" w:hAnsi="微软雅黑CD" w:eastAsia="微软雅黑CD" w:cs="微软雅黑CD"/>
                <w:color w:val="000000"/>
                <w:sz w:val="24"/>
              </w:rPr>
              <w:t xml:space="preserve">0.00%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微软雅黑CD" w:hAnsi="微软雅黑CD" w:eastAsia="微软雅黑CD" w:cs="微软雅黑CD"/>
                <w:color w:val="000000"/>
                <w:sz w:val="24"/>
                <w:b w:val="true"/>
              </w:rPr>
              <w:t xml:space="preserve">合计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微软雅黑CD" w:hAnsi="微软雅黑CD" w:eastAsia="微软雅黑CD" w:cs="微软雅黑CD"/>
                <w:color w:val="000000"/>
                <w:sz w:val="24"/>
              </w:rPr>
              <w:t xml:space="preserve">100.00%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left"/>
            </w:pPr>
            <w:r>
              <w:rPr>
                <w:rFonts w:ascii="微软雅黑CD" w:hAnsi="微软雅黑CD" w:eastAsia="微软雅黑CD" w:cs="微软雅黑CD"/>
                <w:color w:val="000000"/>
                <w:sz w:val="24"/>
              </w:rPr>
              <w:t xml:space="preserve">    特此公告！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微软雅黑CD" w:hAnsi="微软雅黑CD" w:eastAsia="微软雅黑CD" w:cs="微软雅黑CD"/>
                <w:color w:val="000000"/>
                <w:sz w:val="26"/>
              </w:rPr>
              <w:t xml:space="preserve">兴业银行股份有限公司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微软雅黑CD" w:hAnsi="微软雅黑CD" w:eastAsia="微软雅黑CD" w:cs="微软雅黑CD"/>
                <w:color w:val="000000"/>
                <w:sz w:val="26"/>
              </w:rPr>
              <w:t xml:space="preserve">2022年10月26日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1900" w:h="16840" w:orient="portrait"/>
      <w:pgMar w:top="800" w:right="700" w:bottom="440" w:left="80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  <w:style w:type="paragraph" w:styleId="Table_CD">
    <w:name w:val="Table_CD"/>
    <w:qFormat/>
    <w:pPr>
      <w:ind/>
    </w:pPr>
    <w:rPr>
      <w:rFonts w:ascii="SansSerif" w:hAnsi="SansSerif" w:eastAsia="SansSerif" w:cs="SansSerif"/>
      <w:color w:val="000000"/>
      <w:sz w:val="20"/>
    </w:rPr>
  </w:style>
  <w:style w:type="paragraph" w:styleId="Table 1_TH">
    <w:name w:val="Table 1_TH"/>
    <w:qFormat/>
    <w:pPr>
      <w:ind/>
    </w:pPr>
    <w:rPr>
      <w:rFonts w:ascii="SansSerif" w:hAnsi="SansSerif" w:eastAsia="SansSerif" w:cs="SansSerif"/>
      <w:color w:val="000000"/>
      <w:sz w:val="20"/>
    </w:rPr>
  </w:style>
  <w:style w:type="paragraph" w:styleId="Table 1_CH">
    <w:name w:val="Table 1_CH"/>
    <w:qFormat/>
    <w:pPr>
      <w:ind/>
    </w:pPr>
    <w:rPr>
      <w:rFonts w:ascii="SansSerif" w:hAnsi="SansSerif" w:eastAsia="SansSerif" w:cs="SansSerif"/>
      <w:color w:val="000000"/>
      <w:sz w:val="20"/>
    </w:rPr>
  </w:style>
  <w:style w:type="paragraph" w:styleId="Table 1_TD">
    <w:name w:val="Table 1_TD"/>
    <w:qFormat/>
    <w:pPr>
      <w:ind/>
    </w:pPr>
    <w:rPr>
      <w:rFonts w:ascii="SansSerif" w:hAnsi="SansSerif" w:eastAsia="SansSerif" w:cs="SansSerif"/>
      <w:color w:val="000000"/>
      <w:sz w:val="20"/>
    </w:rPr>
  </w:style>
  <w:style w:type="paragraph" w:styleId="Table 2_TH">
    <w:name w:val="Table 2_TH"/>
    <w:qFormat/>
    <w:pPr>
      <w:ind/>
    </w:pPr>
    <w:rPr>
      <w:rFonts w:ascii="SansSerif" w:hAnsi="SansSerif" w:eastAsia="SansSerif" w:cs="SansSerif"/>
      <w:color w:val="000000"/>
      <w:sz w:val="20"/>
    </w:rPr>
  </w:style>
  <w:style w:type="paragraph" w:styleId="Table 2_CH">
    <w:name w:val="Table 2_CH"/>
    <w:qFormat/>
    <w:pPr>
      <w:ind/>
    </w:pPr>
    <w:rPr>
      <w:rFonts w:ascii="SansSerif" w:hAnsi="SansSerif" w:eastAsia="SansSerif" w:cs="SansSerif"/>
      <w:color w:val="000000"/>
      <w:sz w:val="20"/>
    </w:rPr>
  </w:style>
  <w:style w:type="paragraph" w:styleId="Table 2_TD">
    <w:name w:val="Table 2_TD"/>
    <w:qFormat/>
    <w:pPr>
      <w:ind/>
    </w:pPr>
    <w:rPr>
      <w:rFonts w:ascii="SansSerif" w:hAnsi="SansSerif" w:eastAsia="SansSerif" w:cs="SansSerif"/>
      <w:color w:val="000000"/>
      <w:sz w:val="20"/>
    </w:rPr>
  </w:style>
  <w:style w:type="paragraph" w:styleId="Table 3_TH">
    <w:name w:val="Table 3_TH"/>
    <w:qFormat/>
    <w:pPr>
      <w:ind/>
    </w:pPr>
    <w:rPr>
      <w:rFonts w:ascii="SansSerif" w:hAnsi="SansSerif" w:eastAsia="SansSerif" w:cs="SansSerif"/>
      <w:color w:val="000000"/>
      <w:sz w:val="20"/>
    </w:rPr>
  </w:style>
  <w:style w:type="paragraph" w:styleId="Table 3_CH">
    <w:name w:val="Table 3_CH"/>
    <w:qFormat/>
    <w:pPr>
      <w:ind/>
    </w:pPr>
    <w:rPr>
      <w:rFonts w:ascii="SansSerif" w:hAnsi="SansSerif" w:eastAsia="SansSerif" w:cs="SansSerif"/>
      <w:color w:val="000000"/>
      <w:sz w:val="20"/>
    </w:rPr>
  </w:style>
  <w:style w:type="paragraph" w:styleId="Table 3_TD">
    <w:name w:val="Table 3_TD"/>
    <w:qFormat/>
    <w:pPr>
      <w:ind/>
    </w:pPr>
    <w:rPr>
      <w:rFonts w:ascii="SansSerif" w:hAnsi="SansSerif" w:eastAsia="SansSerif" w:cs="SansSerif"/>
      <w:color w:val="000000"/>
      <w:sz w:val="20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>
  <Application>JasperReports Library version 6.6.0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