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600"/>
        <w:gridCol w:w="220"/>
        <w:gridCol w:w="380"/>
        <w:gridCol w:w="740"/>
        <w:gridCol w:w="260"/>
        <w:gridCol w:w="1000"/>
        <w:gridCol w:w="1000"/>
        <w:gridCol w:w="1000"/>
        <w:gridCol w:w="800"/>
        <w:gridCol w:w="1820"/>
        <w:gridCol w:w="480"/>
        <w:gridCol w:w="100"/>
        <w:gridCol w:w="100"/>
        <w:gridCol w:w="1"/>
        <w:gridCol w:w="19"/>
        <w:gridCol w:w="1"/>
        <w:gridCol w:w="19"/>
        <w:gridCol w:w="260"/>
        <w:gridCol w:w="1"/>
      </w:tblGrid>
      <w:tr>
        <w:tblPrEx>
          <w:tblCellMar>
            <w:top w:w="0" w:type="dxa"/>
            <w:left w:w="10" w:type="dxa"/>
            <w:bottom w:w="0" w:type="dxa"/>
            <w:right w:w="10" w:type="dxa"/>
          </w:tblCellMar>
        </w:tblPrEx>
        <w:trPr>
          <w:gridAfter w:val="5"/>
          <w:wAfter w:w="300" w:type="dxa"/>
          <w:trHeight w:val="0" w:hRule="atLeast"/>
        </w:trPr>
        <w:tc>
          <w:p>
            <w:pPr>
              <w:pStyle w:val="4"/>
            </w:pPr>
            <w:bookmarkStart w:id="0" w:name="JR_PAGE_ANCHOR_0_1"/>
            <w:bookmarkEnd w:id="0"/>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兴银理财添利天天宝3号净值型理财产品2022年第三季度报告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96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3020" w:hRule="atLeast"/>
        </w:trPr>
        <w:tc>
          <w:p>
            <w:pPr>
              <w:pStyle w:val="4"/>
            </w:pPr>
          </w:p>
        </w:tc>
        <w:tc>
          <w:tcPr>
            <w:gridSpan w:val="17"/>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兴银理财添利天天宝3号净值型理财产品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5"/>
          <w:wAfter w:w="300" w:type="dxa"/>
          <w:trHeight w:val="660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27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6"/>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兴银理财添利天天宝3号净值型理财产品2022年第三季度报告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840" w:hRule="atLeast"/>
        </w:trPr>
        <w:tc>
          <w:p>
            <w:pPr>
              <w:pStyle w:val="4"/>
            </w:pPr>
          </w:p>
        </w:tc>
        <w:tc>
          <w:tcPr>
            <w:gridSpan w:val="3"/>
          </w:tcPr>
          <w:p>
            <w:pPr>
              <w:pStyle w:val="4"/>
            </w:pPr>
          </w:p>
        </w:tc>
        <w:tc>
          <w:tcPr>
            <w:gridSpan w:val="12"/>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3"/>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兴银理财添利天天宝3号净值型理财产品2022年第三季度报告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3080" w:hRule="atLeast"/>
        </w:trPr>
        <w:tc>
          <w:p>
            <w:pPr>
              <w:pStyle w:val="4"/>
            </w:pPr>
          </w:p>
        </w:tc>
        <w:tc>
          <w:tcPr>
            <w:gridSpan w:val="17"/>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兴银理财添利天天宝3号净值型理财产品</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9TTB0003</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Z7002022000004</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642,326,473.74份</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通知存款七天+浮动基数0%</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5"/>
          <w:wAfter w:w="300" w:type="dxa"/>
          <w:trHeight w:val="29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兴银理财添利天天宝3号净值型理财产品2022年第三季度报告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5"/>
          <w:wAfter w:w="300" w:type="dxa"/>
          <w:trHeight w:val="5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报告期内，9TTB0003七日年化收益率均值2.474</w:t>
            </w:r>
            <w:r>
              <w:rPr>
                <w:rFonts w:hint="eastAsia" w:ascii="宋体" w:hAnsi="宋体" w:eastAsia="宋体" w:cs="宋体"/>
                <w:color w:val="000000"/>
                <w:sz w:val="21"/>
                <w:lang w:val="en-US" w:eastAsia="zh-CN"/>
              </w:rPr>
              <w:t>9</w:t>
            </w:r>
            <w:r>
              <w:rPr>
                <w:rFonts w:ascii="宋体" w:hAnsi="宋体" w:eastAsia="宋体" w:cs="宋体"/>
                <w:color w:val="000000"/>
                <w:sz w:val="21"/>
              </w:rPr>
              <w:t>%。同期业绩比较基准如下：</w:t>
            </w:r>
          </w:p>
        </w:tc>
        <w:tc>
          <w:p>
            <w:pPr>
              <w:pStyle w:val="4"/>
            </w:pPr>
          </w:p>
        </w:tc>
      </w:tr>
      <w:tr>
        <w:tblPrEx>
          <w:tblCellMar>
            <w:top w:w="0" w:type="dxa"/>
            <w:left w:w="10" w:type="dxa"/>
            <w:bottom w:w="0" w:type="dxa"/>
            <w:right w:w="10" w:type="dxa"/>
          </w:tblCellMar>
        </w:tblPrEx>
        <w:trPr>
          <w:gridAfter w:val="5"/>
          <w:wAfter w:w="300" w:type="dxa"/>
          <w:trHeight w:val="16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1200" w:hRule="exact"/>
        </w:trPr>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2022-07-01至2022-09-30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6"/>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万份收益</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七日年化收益率</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0.7499</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2.5930%</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642,326,473.74</w:t>
            </w:r>
          </w:p>
        </w:tc>
        <w:tc>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5"/>
          <w:wAfter w:w="30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156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5"/>
          <w:wAfter w:w="300" w:type="dxa"/>
          <w:trHeight w:val="2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574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 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三季度经济和融资有边际改善，但扩张基础仍然不牢固，“三重压力”背景下，基建对基本面形成一定支撑，但疫情反复、地产扰动和出口压力形成拖累。货币政策强化跨周期和逆周期调节，加大稳健货币政策实施力度，政策性开发性金融工具发力支持基建，资金利率低位运行。市场在弱基本面+弱修复现实下，围绕资金面和增量政策下基本面修复展开定价。7月跨季后资金面超预期宽松叠加社融塌方，经济修复不及预期，债市整体震荡下行。8月上旬增量信息有限，10年期国债窄幅震荡，8月15日MLF降息点燃市场做多行情，10年期国债收益率下探至年内低点2.58%，后在宽预期、止盈情绪和外围压力下震荡回升。随后经济数据印证复苏逻辑，9月资金面收敛预期再起，MLF继续缩量、税期及季末节前季节性因素和外围扰动下货币政策面临内外均衡制约等因素推动利率上行，短端调整幅度大于长端，曲线略走平。</w:t>
            </w:r>
            <w:r>
              <w:rPr>
                <w:rFonts w:ascii="宋体" w:hAnsi="宋体" w:eastAsia="宋体" w:cs="宋体"/>
                <w:color w:val="000000"/>
                <w:sz w:val="21"/>
              </w:rPr>
              <w:br w:type="textWrapping"/>
            </w:r>
            <w:r>
              <w:rPr>
                <w:rFonts w:ascii="宋体" w:hAnsi="宋体" w:eastAsia="宋体" w:cs="宋体"/>
                <w:color w:val="000000"/>
                <w:sz w:val="21"/>
              </w:rPr>
              <w:t xml:space="preserve">    展望后市，四季度大概率仍将延续内需偏弱+外需下行的格局，稳增长接续政策的效果和持续性对需求端有所支撑，内需数据有望延续偏弱修复格局；但出口拐头向下趋势下外需承压。若无增量政策等超预期变量，基本面短期难言趋势性的改变。在此背景下，货币政策“以我为主”的基调明确，预计四季度央行仍然会延续宽松的货币政策，通过降成本推进宽信用，直至社融出现趋势性向好。市场方面，当前利率绝对和相对水平均处于历史低位，同时外围的压力也影响着利率波动区间下限；经济弱修复但底层矛盾未解，流动性充裕的局面下利率亦不具备大幅上行的条件，预计四季度债券市场整体以窄幅震荡为主。</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 前期运作回顾</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5"/>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28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兴银理财添利天天宝3号净值型理财产品2022年第三季度报告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392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本产品始终将保持流动性安全和防范信用风险作为第一要务，在此基础上通过稳健的投资风格实现相对稳定的收益。报告期内，本产品按照《关于规范现金管理类理财产品管理有关事项的通知》的要求，平稳、合规运作，产品规模持续小幅增加。资产配置方面，根据我们对市场的预判，在三季度流动性宽松、短端收益率中枢进一步下探的格局下，合理控制新增资产久期，积极把握市场高点的买入机会，主要配置了同业存单、高等级信用债等品种，同时以隔夜正回购为主的杠杆策略为产品增厚收益。</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三 后期投资策略</w:t>
            </w:r>
            <w:r>
              <w:rPr>
                <w:rFonts w:ascii="宋体" w:hAnsi="宋体" w:eastAsia="宋体" w:cs="宋体"/>
                <w:color w:val="000000"/>
                <w:sz w:val="21"/>
              </w:rPr>
              <w:br w:type="textWrapping"/>
            </w:r>
            <w:r>
              <w:rPr>
                <w:rFonts w:ascii="宋体" w:hAnsi="宋体" w:eastAsia="宋体" w:cs="宋体"/>
                <w:color w:val="000000"/>
                <w:sz w:val="21"/>
              </w:rPr>
              <w:t xml:space="preserve">    四季度，本产品仍然会坚持以安全性和流动性优先、兼顾收益性的稳健策略，综合考量各类资产的风险收益特征，根据市场情况灵活把握投资节奏。在即将到来的年末关键时点，提前布局产品流动性，保障产品运作安全。同时，我们会按照《关于规范现金管理类理财产品管理有关事项的通知》的相关要求，持续动态监控产品投资组合，保障产品合规、平稳地运作。</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p>
            <w:pPr>
              <w:pStyle w:val="4"/>
            </w:pPr>
          </w:p>
        </w:tc>
        <w:tc>
          <w:tcPr>
            <w:gridSpan w:val="18"/>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3"/>
          <w:wAfter w:w="280" w:type="dxa"/>
          <w:trHeight w:val="4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3000" w:hRule="exact"/>
        </w:trPr>
        <w:tc>
          <w:p>
            <w:pPr>
              <w:pStyle w:val="4"/>
            </w:pPr>
          </w:p>
        </w:tc>
        <w:tc>
          <w:p>
            <w:pPr>
              <w:pStyle w:val="4"/>
            </w:pPr>
          </w:p>
        </w:tc>
        <w:tc>
          <w:tcPr>
            <w:gridSpan w:val="18"/>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280" w:type="dxa"/>
          <w:trHeight w:val="6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10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58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16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兴银理财添利天天宝3号净值型理财产品2022年第三季度报告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5"/>
          <w:wAfter w:w="300" w:type="dxa"/>
          <w:trHeight w:val="6640" w:hRule="exact"/>
        </w:trPr>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100,000,270.00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50,997,680.16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50,000,195.00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Z存放同业（线上）20220908003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建设银行深圳分行活期存款（约期）</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16,670,000.00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20湘高速PPN003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15,096,314.14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20HG01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15,052,786.84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建融5优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18青城03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13,505,346.84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20江苏资产MTN001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11,796,886.46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14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5"/>
          <w:wAfter w:w="300" w:type="dxa"/>
          <w:trHeight w:val="48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20常高新PPN001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22津城建SCP022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22辽成大CP002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22荣盛SCP004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22陕有色SCP001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22一汽租赁CP002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5"/>
          <w:wAfter w:w="300" w:type="dxa"/>
          <w:trHeight w:val="10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5"/>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兴银理财添利天天宝3号净值型理财产品2022年第三季度报告</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Z存放同业(线上)20220425003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兴业银行活期存款(上海)(约期)-2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兴业银行活期存款(上海)(约期)-3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兴业银行活期存款(上海)(约期)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538.00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Z存放同业(线上)20220412005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9"/>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051010100101332851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兴银理财添利天天宝3号净值型理财产品</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b/>
                <w:color w:val="000000"/>
                <w:sz w:val="21"/>
              </w:rPr>
              <w:t>7.影响理财份额投资人决策的其他重要信息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color w:val="000000"/>
                <w:sz w:val="20"/>
              </w:rPr>
              <w:t xml:space="preserve"> 7.1报告期内单一投资者持有产品份额达到或者超过该产品总份额20%的情形</w:t>
            </w: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2"/>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top"/>
          </w:tcPr>
          <w:p>
            <w:pPr>
              <w:jc w:val="right"/>
              <w:rPr>
                <w:rFonts w:ascii="宋体" w:hAnsi="宋体" w:eastAsia="宋体" w:cs="宋体"/>
                <w:color w:val="000000"/>
                <w:sz w:val="21"/>
              </w:rPr>
            </w:pPr>
            <w:r>
              <w:rPr>
                <w:rFonts w:ascii="宋体" w:hAnsi="宋体" w:eastAsia="宋体" w:cs="宋体"/>
                <w:color w:val="000000"/>
                <w:sz w:val="21"/>
              </w:rPr>
              <w:t>2022年10月26日</w:t>
            </w: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bookmarkStart w:id="7" w:name="_GoBack"/>
            <w:bookmarkEnd w:id="7"/>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5"/>
          </w:tcPr>
          <w:p>
            <w:pPr>
              <w:pStyle w:val="4"/>
            </w:pPr>
          </w:p>
        </w:tc>
        <w:tc>
          <w:tcPr>
            <w:gridSpan w:val="4"/>
          </w:tcPr>
          <w:p>
            <w:pPr>
              <w:pStyle w:val="4"/>
            </w:pPr>
          </w:p>
        </w:tc>
        <w:tc>
          <w:p>
            <w:pPr>
              <w:pStyle w:val="4"/>
            </w:pPr>
          </w:p>
        </w:tc>
        <w:tc>
          <w:p>
            <w:pPr>
              <w:pStyle w:val="4"/>
            </w:pPr>
          </w:p>
        </w:tc>
      </w:tr>
    </w:tbl>
    <w:p/>
    <w:sectPr>
      <w:pgSz w:w="11900" w:h="16840"/>
      <w:pgMar w:top="600" w:right="3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151E7D93"/>
    <w:rsid w:val="59237834"/>
    <w:rsid w:val="65F26F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2022-10-21T12:43:00Z</dcterms:created>
  <dc:creator>cib</dc:creator>
  <cp:lastModifiedBy>cib</cp:lastModifiedBy>
  <dcterms:modified xsi:type="dcterms:W3CDTF">2023-02-20T08:43:49Z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