
<file path=[Content_Types].xml><?xml version="1.0" encoding="utf-8"?>
<Types xmlns="http://schemas.openxmlformats.org/package/2006/content-types">
  <Default Extension="gif" ContentType="image/gif"/>
  <Default Extension="jpeg" ContentType="image/jpeg"/>
  <Default Extension="jpg" ContentType="image/jpeg"/>
  <Default Extension="png" ContentType="image/png"/>
  <Default Extension="tiff" ContentType="image/tif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docProps/app.xml" ContentType="application/vnd.openxmlformats-officedocument.extended-properties+xml"/>
  <Override PartName="/docProps/core.xml" ContentType="application/vnd.openxmlformats-package.core-properties+xml"/>
</Types>
</file>

<file path=_rels/.rels><?xml version="1.0" encoding="UTF-8"?>
<Relationships xmlns="http://schemas.openxmlformats.org/package/2006/relationships">
<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w:body>
    <w:tbl>
      <w:tblPr>
        <w:tblLayout w:type="fixed"/>
      </w:tblPr>
      <w:tblGrid>
        <w:gridCol w:w="1"/>
        <w:gridCol w:w="3020"/>
        <w:gridCol w:w="380"/>
        <w:gridCol w:w="2000"/>
        <w:gridCol w:w="2000"/>
        <w:gridCol w:w="2620"/>
        <w:gridCol w:w="680"/>
        <w:gridCol w:w="1"/>
      </w:tblGrid>
      <w:tr>
        <w:trPr>
          <w:trHeight w:hRule="exact" w:val="0"/>
        </w:trPr>
        <w:tc>
          <w:tcPr>
     </w:tcPr>
          <w:p>
            <w:pPr>
              <w:pStyle w:val="EMPTY_CELL_STYLE"/>
            </w:pPr>
            <w:bookmarkStart w:id="0" w:name="JR_PAGE_ANCHOR_0_1"/>
            <w:bookmarkEnd w:id="0"/>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兴银理财金雪球稳利1号A款净值型理财产品2022年第四季度报告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9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3020"/>
        </w:trPr>
        <w:tc>
          <w:tcPr>
     </w:tcPr>
          <w:p>
            <w:pPr>
              <w:pStyle w:val="EMPTY_CELL_STYLE"/>
            </w:pPr>
          </w:p>
        </w:tc>
        <w:tc>
          <w:tcPr>
            <w:gridSpan w:val="6"/>
            <w:tcMar>
              <w:top w:w="0" w:type="dxa"/>
              <w:left w:w="0" w:type="dxa"/>
              <w:bottom w:w="0" w:type="dxa"/>
              <w:right w:w="0" w:type="dxa"/>
            </w:tcMar>
            <w:vAlign w:val="center"/>
          </w:tcPr>
          <w:p>
            <w:pPr>
              <w:ind/>
              <w:jc w:val="center"/>
              <w:spacing w:lineRule="auto" w:line="360" w:after="0" w:before="0"/>
            </w:pPr>
            <w:r>
              <w:rPr>
                <w:rFonts w:ascii="宋体" w:hAnsi="宋体" w:eastAsia="宋体" w:cs="宋体"/>
                <w:color w:val="000000"/>
                <w:sz w:val="32"/>
                <w:b w:val="true"/>
              </w:rPr>
              <w:t xml:space="preserve">兴银理财金雪球稳利1号A款净值型理财产品</w:t>
              <w:br/>
              <w:t xml:space="preserve">2022年第四季度报告</w:t>
            </w:r>
          </w:p>
        </w:tc>
        <w:tc>
          <w:tcPr>
     </w:tcPr>
          <w:p>
            <w:pPr>
              <w:pStyle w:val="EMPTY_CELL_STYLE"/>
            </w:pPr>
          </w:p>
        </w:tc>
      </w:tr>
      <w:tr>
        <w:trPr>
          <w:trHeight w:hRule="exact" w:val="6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5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jc w:val="left"/>
            </w:pPr>
            <w:r>
              <w:rPr>
                <w:rFonts w:ascii="宋体" w:hAnsi="宋体" w:eastAsia="宋体" w:cs="宋体"/>
                <w:color w:val="000000"/>
                <w:sz w:val="24"/>
              </w:rPr>
              <w:t xml:space="preserve">理财产品管理人：兴银理财有限责任公司</w:t>
            </w:r>
          </w:p>
        </w:tc>
        <w:tc>
          <w:tcPr>
     </w:tcPr>
          <w:p>
            <w:pPr>
              <w:pStyle w:val="EMPTY_CELL_STYLE"/>
            </w:pPr>
          </w:p>
        </w:tc>
        <w:tc>
          <w:tcPr>
     </w:tcPr>
          <w:p>
            <w:pPr>
              <w:pStyle w:val="EMPTY_CELL_STYLE"/>
            </w:pPr>
          </w:p>
        </w:tc>
      </w:tr>
      <w:tr>
        <w:trPr>
          <w:trHeight w:hRule="atLeast" w:val="5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jc w:val="left"/>
            </w:pPr>
            <w:r>
              <w:rPr>
                <w:rFonts w:ascii="宋体" w:hAnsi="宋体" w:eastAsia="宋体" w:cs="宋体"/>
                <w:color w:val="000000"/>
                <w:sz w:val="24"/>
              </w:rPr>
              <w:t xml:space="preserve">理财产品托管人：兴业银行股份有限公司</w:t>
            </w:r>
          </w:p>
        </w:tc>
        <w:tc>
          <w:tcPr>
     </w:tcPr>
          <w:p>
            <w:pPr>
              <w:pStyle w:val="EMPTY_CELL_STYLE"/>
            </w:pPr>
          </w:p>
        </w:tc>
        <w:tc>
          <w:tcPr>
     </w:tcPr>
          <w:p>
            <w:pPr>
              <w:pStyle w:val="EMPTY_CELL_STYLE"/>
            </w:pPr>
          </w:p>
        </w:tc>
      </w:tr>
      <w:tr>
        <w:trPr>
          <w:trHeight w:hRule="atLeast" w:val="5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jc w:val="left"/>
            </w:pPr>
            <w:r>
              <w:rPr>
                <w:rFonts w:ascii="宋体" w:hAnsi="宋体" w:eastAsia="宋体" w:cs="宋体"/>
                <w:color w:val="000000"/>
                <w:sz w:val="24"/>
              </w:rPr>
              <w:t xml:space="preserve">报告送出日期：2023年1月28日</w:t>
            </w:r>
          </w:p>
        </w:tc>
        <w:tc>
          <w:tcPr>
     </w:tcPr>
          <w:p>
            <w:pPr>
              <w:pStyle w:val="EMPTY_CELL_STYLE"/>
            </w:pPr>
          </w:p>
        </w:tc>
        <w:tc>
          <w:tcPr>
     </w:tcPr>
          <w:p>
            <w:pPr>
              <w:pStyle w:val="EMPTY_CELL_STYLE"/>
            </w:pPr>
          </w:p>
        </w:tc>
      </w:tr>
      <w:tr>
        <w:trPr>
          <w:trHeight w:hRule="exact" w:val="27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1/</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9</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100"/>
        <w:gridCol w:w="3300"/>
        <w:gridCol w:w="1000"/>
        <w:gridCol w:w="1000"/>
        <w:gridCol w:w="1000"/>
        <w:gridCol w:w="1000"/>
        <w:gridCol w:w="3100"/>
        <w:gridCol w:w="200"/>
        <w:gridCol w:w="1"/>
      </w:tblGrid>
      <w:tr>
        <w:trPr>
          <w:trHeight w:hRule="exact" w:val="0"/>
        </w:trPr>
        <w:tc>
          <w:tcPr>
     </w:tcPr>
          <w:p>
            <w:pPr>
              <w:pStyle w:val="EMPTY_CELL_STYLE"/>
              <w:pageBreakBefore/>
            </w:pPr>
            <w:bookmarkStart w:id="1" w:name="JR_PAGE_ANCHOR_0_2"/>
            <w:bookmarkEnd w:id="1"/>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8"/>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兴银理财金雪球稳利1号A款净值型理财产品2022年第四季度报告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8"/>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8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center"/>
            </w:pPr>
            <w:r>
              <w:rPr>
                <w:rFonts w:ascii="宋体" w:hAnsi="宋体" w:eastAsia="宋体" w:cs="宋体"/>
                <w:color w:val="000000"/>
                <w:sz w:val="30"/>
                <w:b w:val="true"/>
              </w:rPr>
              <w:t xml:space="preserve">目  录</w:t>
            </w: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4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840"/>
        </w:trPr>
        <w:tc>
          <w:tcPr>
     </w:tcPr>
          <w:p>
            <w:pPr>
              <w:pStyle w:val="EMPTY_CELL_STYLE"/>
            </w:pPr>
          </w:p>
        </w:tc>
        <w:tc>
          <w:tcPr>
     </w:tcPr>
          <w:p>
            <w:pPr>
              <w:pStyle w:val="EMPTY_CELL_STYLE"/>
            </w:pPr>
          </w:p>
        </w:tc>
        <w:tc>
          <w:tcPr>
            <w:gridSpan w:val="6"/>
            <w:tcMar>
              <w:top w:w="0" w:type="dxa"/>
              <w:left w:w="0" w:type="dxa"/>
              <w:bottom w:w="0" w:type="dxa"/>
              <w:right w:w="0" w:type="dxa"/>
            </w:tcMar>
            <w:vAlign w:val="top"/>
          </w:tcPr>
          <w:p>
            <w:pPr>
              <w:ind/>
              <w:jc w:val="left"/>
              <w:spacing w:lineRule="auto" w:line="336" w:after="0" w:before="0"/>
            </w:pPr>
            <w:r>
              <w:rPr>
                <w:rFonts w:ascii="宋体" w:hAnsi="宋体" w:eastAsia="宋体" w:cs="宋体"/>
                <w:color w:val="000000"/>
                <w:sz w:val="21"/>
              </w:rPr>
              <w:t xml:space="preserve">§ 一. 重要提示</w:t>
              <w:br/>
              <w:t xml:space="preserve">§ 二. 产品基本信息</w:t>
              <w:br/>
              <w:t xml:space="preserve">§ 三. 产品收益表现</w:t>
              <w:br/>
              <w:t xml:space="preserve">§ 四. 产品投资经理简介</w:t>
              <w:br/>
              <w:t xml:space="preserve">§ 五. 报告期内产品投资策略</w:t>
              <w:br/>
              <w:t xml:space="preserve">§ 六. 投资组合情况</w:t>
              <w:br/>
              <w:t xml:space="preserve">     1. 报告期末资产组合情况</w:t>
              <w:br/>
              <w:t xml:space="preserve">     2. 报告期末杠杆融资情况</w:t>
              <w:br/>
              <w:t xml:space="preserve">     3. 投资组合的流动性风险分析</w:t>
              <w:br/>
              <w:t xml:space="preserve">     4. 报告期末资产持仓前十基本信息</w:t>
              <w:br/>
              <w:t xml:space="preserve">     5. 报告期间关联交易情况</w:t>
              <w:br/>
              <w:t xml:space="preserve">     6. 投资账户信息</w:t>
            </w:r>
          </w:p>
        </w:tc>
        <w:tc>
          <w:tcPr>
     </w:tcPr>
          <w:p>
            <w:pPr>
              <w:pStyle w:val="EMPTY_CELL_STYLE"/>
            </w:pPr>
          </w:p>
        </w:tc>
        <w:tc>
          <w:tcPr>
     </w:tcPr>
          <w:p>
            <w:pPr>
              <w:pStyle w:val="EMPTY_CELL_STYLE"/>
            </w:pPr>
          </w:p>
        </w:tc>
      </w:tr>
      <w:tr>
        <w:trPr>
          <w:trHeight w:hRule="exact" w:val="60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2/</w:t>
            </w:r>
          </w:p>
        </w:tc>
        <w:tc>
          <w:tcPr>
            <w:gridSpan w:val="2"/>
            <w:tcMar>
              <w:top w:w="0" w:type="dxa"/>
              <w:left w:w="0" w:type="dxa"/>
              <w:bottom w:w="0" w:type="dxa"/>
              <w:right w:w="0" w:type="dxa"/>
            </w:tcMar>
            <w:vAlign w:val="top"/>
          </w:tcPr>
          <w:p>
            <w:pPr>
              <w:ind/>
              <w:jc w:val="left"/>
            </w:pPr>
            <w:r>
              <w:rPr>
                <w:rFonts w:ascii="SansSerif" w:hAnsi="SansSerif" w:eastAsia="SansSerif" w:cs="SansSerif"/>
                <w:color w:val="000000"/>
                <w:sz w:val="18"/>
              </w:rPr>
              <w:t xml:space="preserve">9</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3400"/>
        <w:gridCol w:w="740"/>
        <w:gridCol w:w="1260"/>
        <w:gridCol w:w="2000"/>
        <w:gridCol w:w="2800"/>
        <w:gridCol w:w="500"/>
        <w:gridCol w:w="1"/>
      </w:tblGrid>
      <w:tr>
        <w:trPr>
          <w:trHeight w:hRule="exact" w:val="0"/>
        </w:trPr>
        <w:tc>
          <w:tcPr>
     </w:tcPr>
          <w:p>
            <w:pPr>
              <w:pStyle w:val="EMPTY_CELL_STYLE"/>
              <w:pageBreakBefore/>
            </w:pPr>
            <w:bookmarkStart w:id="2" w:name="JR_PAGE_ANCHOR_0_3"/>
            <w:bookmarkEnd w:id="2"/>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兴银理财金雪球稳利1号A款净值型理财产品2022年第四季度报告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一. 重要提示</w:t>
            </w: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3080"/>
        </w:trPr>
        <w:tc>
          <w:tcPr>
     </w:tcPr>
          <w:p>
            <w:pPr>
              <w:pStyle w:val="EMPTY_CELL_STYLE"/>
            </w:pPr>
          </w:p>
        </w:tc>
        <w:tc>
          <w:tcPr>
            <w:gridSpan w:val="6"/>
            <w:tcBorders>
              <w:top w:val="dotted" w:sz="8" w:space="0" w:color="000000"/>
              <w:left w:val="dotted" w:sz="8" w:space="0" w:color="000000"/>
              <w:bottom w:val="dotted" w:sz="8" w:space="0" w:color="000000"/>
              <w:right w:val="dotted" w:sz="8" w:space="0" w:color="000000"/>
            </w:tcBorders>
            <w:tcMar>
              <w:top w:w="0" w:type="dxa"/>
              <w:left w:w="0" w:type="dxa"/>
              <w:bottom w:w="0" w:type="dxa"/>
              <w:right w:w="0" w:type="dxa"/>
            </w:tcMar>
            <w:vAlign w:val="top"/>
          </w:tcPr>
          <w:p>
            <w:pPr>
              <w:ind/>
              <w:jc w:val="left"/>
              <w:spacing w:lineRule="auto" w:line="360" w:after="0" w:before="0"/>
            </w:pPr>
            <w:r>
              <w:rPr>
                <w:rFonts w:ascii="仿宋" w:hAnsi="仿宋" w:eastAsia="仿宋" w:cs="仿宋"/>
                <w:color w:val="000000"/>
                <w:sz w:val="21"/>
              </w:rPr>
              <w:br/>
              <w:t xml:space="preserve"> 1. 温馨提醒：理财非存款，产品有风险，投资需谨慎！</w:t>
              <w:br/>
              <w:t xml:space="preserve"> 2. 理财信息可供参考，详情请咨询理财经理，或在“中国理财网（www.chinawealth.com.cn）”查询该产品相关信息。</w:t>
              <w:br/>
              <w:t xml:space="preserve"> 3. 兴银理财有限责任公司保留对所有文字说明的最终解释权。</w:t>
              <w:br/>
              <w:t xml:space="preserve"> 4. 投资组合情况（期末资产组合情况、杠杆比例、资产前十持仓等）详情请理财持有人登录网银后进行查询。</w:t>
              <w:br/>
            </w:r>
          </w:p>
        </w:tc>
        <w:tc>
          <w:tcPr>
     </w:tcPr>
          <w:p>
            <w:pPr>
              <w:pStyle w:val="EMPTY_CELL_STYLE"/>
            </w:pPr>
          </w:p>
        </w:tc>
      </w:tr>
      <w:tr>
        <w:trPr>
          <w:trHeight w:hRule="exac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二. 产品基本情况</w:t>
            </w: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产品名称</w:t>
            </w:r>
          </w:p>
        </w:tc>
        <w:tc>
          <w:tcPr>
            <w:gridSpan w:val="4"/>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spacing w:lineRule="auto" w:line="240" w:after="0" w:before="0"/>
            </w:pPr>
            <w:r>
              <w:rPr>
                <w:rFonts w:ascii="宋体" w:hAnsi="宋体" w:eastAsia="宋体" w:cs="宋体"/>
                <w:color w:val="000000"/>
                <w:sz w:val="21"/>
              </w:rPr>
              <w:t xml:space="preserve">兴银理财金雪球稳利1号A款净值型理财产品</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产品代码</w:t>
            </w:r>
          </w:p>
        </w:tc>
        <w:tc>
          <w:tcPr>
            <w:gridSpan w:val="4"/>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9C212001</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全国银行业理财信息登记系统登记编码</w:t>
            </w:r>
          </w:p>
        </w:tc>
        <w:tc>
          <w:tcPr>
            <w:gridSpan w:val="4"/>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Z7002020000079</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产品运作方式</w:t>
            </w:r>
          </w:p>
        </w:tc>
        <w:tc>
          <w:tcPr>
            <w:gridSpan w:val="4"/>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开放式</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产品募集方式</w:t>
            </w:r>
          </w:p>
        </w:tc>
        <w:tc>
          <w:tcPr>
            <w:gridSpan w:val="4"/>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公募</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投资类型</w:t>
            </w:r>
          </w:p>
        </w:tc>
        <w:tc>
          <w:tcPr>
            <w:gridSpan w:val="4"/>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固定收益类</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报告期末产品份额总额</w:t>
            </w:r>
          </w:p>
        </w:tc>
        <w:tc>
          <w:tcPr>
            <w:gridSpan w:val="4"/>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15,514,789,920.66份</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业绩比较基准/业绩报酬计提基准</w:t>
            </w:r>
          </w:p>
        </w:tc>
        <w:tc>
          <w:tcPr>
            <w:gridSpan w:val="4"/>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jc w:val="left"/>
            </w:pPr>
            <w:r>
              <w:rPr>
                <w:rFonts w:ascii="宋体" w:hAnsi="宋体" w:eastAsia="宋体" w:cs="宋体"/>
                <w:color w:val="000000"/>
                <w:sz w:val="21"/>
              </w:rPr>
              <w:t xml:space="preserve">-/--</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投资币种</w:t>
            </w:r>
          </w:p>
        </w:tc>
        <w:tc>
          <w:tcPr>
            <w:gridSpan w:val="4"/>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人民币</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风险等级</w:t>
            </w:r>
          </w:p>
        </w:tc>
        <w:tc>
          <w:tcPr>
            <w:gridSpan w:val="4"/>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R2</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产品管理人</w:t>
            </w:r>
          </w:p>
        </w:tc>
        <w:tc>
          <w:tcPr>
            <w:gridSpan w:val="4"/>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兴银理财有限责任公司</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产品托管人</w:t>
            </w:r>
          </w:p>
        </w:tc>
        <w:tc>
          <w:tcPr>
            <w:gridSpan w:val="4"/>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spacing w:lineRule="auto" w:line="240" w:after="0" w:before="0"/>
            </w:pPr>
            <w:r>
              <w:rPr>
                <w:rFonts w:ascii="宋体" w:hAnsi="宋体" w:eastAsia="宋体" w:cs="宋体"/>
                <w:color w:val="000000"/>
                <w:sz w:val="21"/>
              </w:rPr>
              <w:t xml:space="preserve">兴业银行股份有限公司</w:t>
            </w:r>
          </w:p>
        </w:tc>
        <w:tc>
          <w:tcPr>
     </w:tcPr>
          <w:p>
            <w:pPr>
              <w:pStyle w:val="EMPTY_CELL_STYLE"/>
            </w:pPr>
          </w:p>
        </w:tc>
      </w:tr>
      <w:tr>
        <w:trPr>
          <w:trHeight w:hRule="exac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三. 产品收益表现</w:t>
            </w:r>
          </w:p>
        </w:tc>
        <w:tc>
          <w:tcPr>
     </w:tcPr>
          <w:p>
            <w:pPr>
              <w:pStyle w:val="EMPTY_CELL_STYLE"/>
            </w:pPr>
          </w:p>
        </w:tc>
      </w:tr>
      <w:tr>
        <w:trPr>
          <w:trHeight w:hRule="exac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firstLine="0"/>
              <w:jc w:val="left"/>
              <w:spacing w:lineRule="exact" w:line="320" w:after="0" w:before="0"/>
            </w:pPr>
            <w:r>
              <w:rPr>
                <w:rFonts w:ascii="宋体" w:hAnsi="宋体" w:eastAsia="宋体" w:cs="宋体"/>
                <w:color w:val="000000"/>
                <w:sz w:val="21"/>
              </w:rPr>
              <w:t xml:space="preserve">产品9C212001自成立日以来，累计净值增长率为9.0240%，年化累计净值增长率为3.4781%。</w:t>
              <w:br/>
              <w:t xml:space="preserve">报告期末，产品净值表现具体如下：</w:t>
            </w:r>
          </w:p>
        </w:tc>
        <w:tc>
          <w:tcPr>
     </w:tcPr>
          <w:p>
            <w:pPr>
              <w:pStyle w:val="EMPTY_CELL_STYLE"/>
            </w:pPr>
          </w:p>
        </w:tc>
        <w:tc>
          <w:tcPr>
     </w:tcPr>
          <w:p>
            <w:pPr>
              <w:pStyle w:val="EMPTY_CELL_STYLE"/>
            </w:pPr>
          </w:p>
        </w:tc>
      </w:tr>
      <w:tr>
        <w:trPr>
          <w:trHeight w:hRule="exact" w:val="9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3/</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9</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2600"/>
        <w:gridCol w:w="800"/>
        <w:gridCol w:w="1700"/>
        <w:gridCol w:w="300"/>
        <w:gridCol w:w="2000"/>
        <w:gridCol w:w="400"/>
        <w:gridCol w:w="2800"/>
        <w:gridCol w:w="100"/>
        <w:gridCol w:w="1"/>
      </w:tblGrid>
      <w:tr>
        <w:trPr>
          <w:trHeight w:hRule="exact" w:val="0"/>
        </w:trPr>
        <w:tc>
          <w:tcPr>
     </w:tcPr>
          <w:p>
            <w:pPr>
              <w:pStyle w:val="EMPTY_CELL_STYLE"/>
              <w:pageBreakBefore/>
            </w:pPr>
            <w:bookmarkStart w:id="3" w:name="JR_PAGE_ANCHOR_0_4"/>
            <w:bookmarkEnd w:id="3"/>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8"/>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兴银理财金雪球稳利1号A款净值型理财产品2022年第四季度报告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8"/>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shd w:val="clear" w:color="auto" w:fill="BFBFBF"/>
            <w:tcBorders>
              <w:top w:val="single" w:sz="8" w:space="0" w:color="080101"/>
              <w:left w:val="single" w:sz="8" w:space="0" w:color="080101"/>
              <w:bottom w:val="single" w:sz="8" w:space="0" w:color="080101"/>
              <w:right w:val="single" w:sz="8" w:space="0" w:color="080101"/>
            </w:tcBorders>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估值日期</w:t>
            </w:r>
          </w:p>
        </w:tc>
        <w:tc>
          <w:tcPr>
            <w:gridSpan w:val="2"/>
            <w:shd w:val="clear" w:color="auto" w:fill="BFBFBF"/>
            <w:tcBorders>
              <w:top w:val="single" w:sz="8" w:space="0" w:color="080101"/>
              <w:left w:val="single" w:sz="8" w:space="0" w:color="080101"/>
              <w:bottom w:val="single" w:sz="8" w:space="0" w:color="080101"/>
              <w:right w:val="single" w:sz="8" w:space="0" w:color="080101"/>
            </w:tcBorders>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产品份额净值</w:t>
            </w:r>
          </w:p>
        </w:tc>
        <w:tc>
          <w:tcPr>
            <w:gridSpan w:val="3"/>
            <w:shd w:val="clear" w:color="auto" w:fill="BFBFBF"/>
            <w:tcBorders>
              <w:top w:val="single" w:sz="8" w:space="0" w:color="080101"/>
              <w:left w:val="single" w:sz="8" w:space="0" w:color="080101"/>
              <w:bottom w:val="single" w:sz="8" w:space="0" w:color="080101"/>
              <w:right w:val="single" w:sz="8" w:space="0" w:color="080101"/>
            </w:tcBorders>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产品累计净值 </w:t>
            </w:r>
          </w:p>
        </w:tc>
        <w:tc>
          <w:tcPr>
            <w:shd w:val="clear" w:color="auto" w:fill="BFBFBF"/>
            <w:tcBorders>
              <w:top w:val="single" w:sz="8" w:space="0" w:color="080101"/>
              <w:left w:val="single" w:sz="8" w:space="0" w:color="080101"/>
              <w:bottom w:val="single" w:sz="8" w:space="0" w:color="080101"/>
              <w:right w:val="single" w:sz="8" w:space="0" w:color="080101"/>
            </w:tcBorders>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产品资产净值</w:t>
            </w:r>
          </w:p>
        </w:tc>
        <w:tc>
          <w:tcPr>
     </w:tcPr>
          <w:p>
            <w:pPr>
              <w:pStyle w:val="EMPTY_CELL_STYLE"/>
            </w:pPr>
          </w:p>
        </w:tc>
        <w:tc>
          <w:tcPr>
     </w:tcPr>
          <w:p>
            <w:pPr>
              <w:pStyle w:val="EMPTY_CELL_STYLE"/>
            </w:pPr>
          </w:p>
        </w:tc>
      </w:tr>
      <w:tr>
        <w:trPr>
          <w:trHeight w:hRule="atLeast" w:val="600"/>
        </w:trPr>
        <w:tc>
          <w:tcPr>
     </w:tcPr>
          <w:p>
            <w:pPr>
              <w:pStyle w:val="EMPTY_CELL_STYLE"/>
            </w:pPr>
          </w:p>
        </w:tc>
        <w:tc>
          <w:tcPr>
            <w:tcBorders>
              <w:top w:val="single" w:sz="8" w:space="0" w:color="080101"/>
              <w:left w:val="single" w:sz="8" w:space="0" w:color="080101"/>
              <w:bottom w:val="single" w:sz="8" w:space="0" w:color="080101"/>
              <w:right w:val="single" w:sz="8" w:space="0" w:color="080101"/>
            </w:tcBorders>
            <w:tcMar>
              <w:top w:w="0" w:type="dxa"/>
              <w:left w:w="0" w:type="dxa"/>
              <w:bottom w:w="0" w:type="dxa"/>
              <w:right w:w="0" w:type="dxa"/>
            </w:tcMar>
            <w:vAlign w:val="center"/>
          </w:tcPr>
          <w:p>
            <w:pPr>
              <w:ind/>
              <w:jc w:val="center"/>
            </w:pPr>
            <w:r>
              <w:rPr>
                <w:rFonts w:ascii="宋体" w:hAnsi="宋体" w:eastAsia="宋体" w:cs="宋体"/>
                <w:color w:val="000000"/>
                <w:sz w:val="21"/>
              </w:rPr>
              <w:t xml:space="preserve">2022年12月31日</w:t>
            </w:r>
          </w:p>
        </w:tc>
        <w:tc>
          <w:tcPr>
            <w:gridSpan w:val="2"/>
            <w:tcBorders>
              <w:top w:val="single" w:sz="8" w:space="0" w:color="080101"/>
              <w:left w:val="single" w:sz="8" w:space="0" w:color="080101"/>
              <w:bottom w:val="single" w:sz="8" w:space="0" w:color="080101"/>
              <w:right w:val="single" w:sz="8" w:space="0" w:color="080101"/>
            </w:tcBorders>
            <w:tcMar>
              <w:top w:w="0" w:type="dxa"/>
              <w:left w:w="0" w:type="dxa"/>
              <w:bottom w:w="0" w:type="dxa"/>
              <w:right w:w="0" w:type="dxa"/>
            </w:tcMar>
            <w:vAlign w:val="center"/>
          </w:tcPr>
          <w:p>
            <w:pPr>
              <w:ind/>
              <w:jc w:val="center"/>
            </w:pPr>
            <w:r>
              <w:rPr>
                <w:rFonts w:ascii="宋体" w:hAnsi="宋体" w:eastAsia="宋体" w:cs="宋体"/>
                <w:color w:val="000000"/>
                <w:sz w:val="21"/>
              </w:rPr>
              <w:t xml:space="preserve">1.09024</w:t>
            </w:r>
          </w:p>
        </w:tc>
        <w:tc>
          <w:tcPr>
            <w:gridSpan w:val="3"/>
            <w:tcBorders>
              <w:top w:val="single" w:sz="8" w:space="0" w:color="080101"/>
              <w:left w:val="single" w:sz="8" w:space="0" w:color="080101"/>
              <w:bottom w:val="single" w:sz="8" w:space="0" w:color="080101"/>
              <w:right w:val="single" w:sz="8" w:space="0" w:color="080101"/>
            </w:tcBorders>
            <w:tcMar>
              <w:top w:w="0" w:type="dxa"/>
              <w:left w:w="0" w:type="dxa"/>
              <w:bottom w:w="0" w:type="dxa"/>
              <w:right w:w="0" w:type="dxa"/>
            </w:tcMar>
            <w:vAlign w:val="center"/>
          </w:tcPr>
          <w:p>
            <w:pPr>
              <w:ind/>
              <w:jc w:val="center"/>
            </w:pPr>
            <w:r>
              <w:rPr>
                <w:rFonts w:ascii="宋体" w:hAnsi="宋体" w:eastAsia="宋体" w:cs="宋体"/>
                <w:color w:val="000000"/>
                <w:sz w:val="21"/>
              </w:rPr>
              <w:t xml:space="preserve">1.09024</w:t>
            </w:r>
          </w:p>
        </w:tc>
        <w:tc>
          <w:tcPr>
            <w:tcBorders>
              <w:top w:val="single" w:sz="8" w:space="0" w:color="080101"/>
              <w:left w:val="single" w:sz="8" w:space="0" w:color="080101"/>
              <w:bottom w:val="single" w:sz="8" w:space="0" w:color="080101"/>
              <w:right w:val="single" w:sz="8" w:space="0" w:color="080101"/>
            </w:tcBorders>
            <w:tcMar>
              <w:top w:w="0" w:type="dxa"/>
              <w:left w:w="0" w:type="dxa"/>
              <w:bottom w:w="0" w:type="dxa"/>
              <w:right w:w="0" w:type="dxa"/>
            </w:tcMar>
            <w:vAlign w:val="center"/>
          </w:tcPr>
          <w:p>
            <w:pPr>
              <w:ind/>
              <w:jc w:val="center"/>
            </w:pPr>
            <w:r>
              <w:rPr>
                <w:rFonts w:ascii="宋体" w:hAnsi="宋体" w:eastAsia="宋体" w:cs="宋体"/>
                <w:color w:val="000000"/>
                <w:sz w:val="21"/>
              </w:rPr>
              <w:t xml:space="preserve">16,914,836,873.12</w:t>
            </w:r>
          </w:p>
        </w:tc>
        <w:tc>
          <w:tcPr>
     </w:tcPr>
          <w:p>
            <w:pPr>
              <w:pStyle w:val="EMPTY_CELL_STYLE"/>
            </w:pPr>
          </w:p>
        </w:tc>
        <w:tc>
          <w:tcPr>
     </w:tcPr>
          <w:p>
            <w:pPr>
              <w:pStyle w:val="EMPTY_CELL_STYLE"/>
            </w:pPr>
          </w:p>
        </w:tc>
      </w:tr>
      <w:tr>
        <w:trPr>
          <w:trHeight w:hRule="exac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8"/>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四. 产品投资经理简介</w:t>
            </w:r>
          </w:p>
        </w:tc>
        <w:tc>
          <w:tcPr>
     </w:tcPr>
          <w:p>
            <w:pPr>
              <w:pStyle w:val="EMPTY_CELL_STYLE"/>
            </w:pPr>
          </w:p>
        </w:tc>
      </w:tr>
      <w:tr>
        <w:trPr>
          <w:trHeight w:hRule="exact" w:val="4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900"/>
        </w:trPr>
        <w:tc>
          <w:tcPr>
     </w:tcPr>
          <w:p>
            <w:pPr>
              <w:pStyle w:val="EMPTY_CELL_STYLE"/>
            </w:pPr>
          </w:p>
        </w:tc>
        <w:tc>
          <w:tcPr>
            <w:gridSpan w:val="8"/>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罗俊鹏先生，现任兴银理财专户投资部投资经理，上海交通大学硕士，具有4年固定收益投资经验，历任兴银理财固定收益部投资助理、投资经理，负责多款上市企业专户产品及公募产品管理，管理规模超过550亿，产品业绩优异，擅长利率债交易及信用债套利挖掘，投资风格灵活，专注于多策略获取组合超额回报。</w:t>
            </w:r>
          </w:p>
        </w:tc>
        <w:tc>
          <w:tcPr>
     </w:tcPr>
          <w:p>
            <w:pPr>
              <w:pStyle w:val="EMPTY_CELL_STYLE"/>
            </w:pPr>
          </w:p>
        </w:tc>
      </w:tr>
      <w:tr>
        <w:trPr>
          <w:trHeight w:hRule="exact" w:val="7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8"/>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五. 报告期内产品的投资策略和运作分析</w:t>
            </w:r>
          </w:p>
        </w:tc>
        <w:tc>
          <w:tcPr>
     </w:tcPr>
          <w:p>
            <w:pPr>
              <w:pStyle w:val="EMPTY_CELL_STYLE"/>
            </w:pPr>
          </w:p>
        </w:tc>
      </w:tr>
      <w:tr>
        <w:trPr>
          <w:trHeight w:hRule="exact" w:val="4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9340"/>
        </w:trPr>
        <w:tc>
          <w:tcPr>
     </w:tcPr>
          <w:p>
            <w:pPr>
              <w:pStyle w:val="EMPTY_CELL_STYLE"/>
            </w:pPr>
          </w:p>
        </w:tc>
        <w:tc>
          <w:tcPr>
            <w:gridSpan w:val="8"/>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一、2022年市场回顾与产品投资策略</w:t>
              <w:br/>
              <w:t xml:space="preserve">1、市场回顾</w:t>
              <w:br/>
              <w:t xml:space="preserve">    2022年债券市场表现一波三折，债券收益率呈现“W”型走势。一季度，疫情冲击影响显现，基本面压力增大，央行果断降息10bp，债市做多热情高涨，债券收益率大幅下行。2月至3月，俄乌冲突爆发、海外加息预期升温，权益市场大幅调整，“固收+”产品赎回引发流动性冲击，债券收益率迅速上行。</w:t>
              <w:br/>
              <w:t xml:space="preserve">    二季度，上海等多个城市疫情爆发蔓延，社融信贷数据走弱，基本面压力持续增大，货币政策延续宽松，债券收益率快速下行。6月，上海全城解封、稳增长政策落地实施，市场交易经济复苏逻辑，债券收益率震荡上行。</w:t>
              <w:br/>
              <w:t xml:space="preserve">    三季度，地产危机愈演愈烈，央行超预期降息，债券收益率下行触底。7月，地产断供风波发酵、地产冲击加大，奥密克戎疫情多地蔓延，经济复苏动能放缓。资金利率持续走低，“宽货币+稳信用”背景下，短端债券收益率持续下行；8月央行超预期降息，带动长债收益率大幅下行。</w:t>
              <w:br/>
              <w:t xml:space="preserve">    四季度，疫情和地产政策放松、理财负反馈等冲击，债券收益率剧烈上行，回吐全年涨幅。跨季后资金利率收敛，海外加息制约国内宽货币空间，债券收益率底部回升。11月，疫情防控政策持续放松优化，地产“三支箭”政策落地，政策推出时点和力度大超市场预期，引发债券市场第一波调整。12月上旬，债市持续下跌导致理财产品净值回撤，理财赎回压力增大，持续抛售债券，引发流动性冲击，债市出现第二波下跌。12月下旬，国内疫情感染病例迎来高峰，经济基本面继续探底，且央行加大公开市场投放力度，债市有所回暖。</w:t>
              <w:br/>
              <w:t xml:space="preserve">2、产品运作</w:t>
              <w:br/>
              <w:t xml:space="preserve">    上半年：1月份资金面宽松带动收益率下行，产品采取提升久期、适度加杠杆的积极策略，票息打底的同时获取资本利得，业绩表现较为优异。2月市场回调后，及时止盈卖出利差压缩到极致的品种，降低债券仓位和组合久期；同时增配货币市场工具等低波动资产，减缓产品波动。3至5月上海疫情爆发，基本面压力增大利多债市，我们利用专户产品期限较长、负债稳定等优势，重点建仓高等级信用债、金融债等品种，提升组合久期和产品杠杆。6月上海解封后债券收益率小幅上行，我们采用中性久期、适度杠杆，通过止盈部分信用债、增配货币类资产逐步调仓，采用超短+超长的哑铃型组合降低波动。</w:t>
              <w:br/>
              <w:t xml:space="preserve">    下半年：7至8月房地产停贷断供事件爆发、资金面宽松带动债券收益率下行，产品采取提升久期、适度提高杠杆的积极策略。9月市场回调后，我们及时止盈卖出利差压缩到极致的品种，降低组合久期。11至12月债市急跌背景下，我们积极应对、全力降低市场冲击，大力减持降仓债券，降低组合久期和产品杠杆。同时，增加低波货币类资产配置，减缓市场冲击，提升组合防御能力。长期限专户利用运作周期长、负债稳定等优势，把握市场流动性冲击的投资机会，逐步建仓高等级信用债。</w:t>
              <w:br/>
              <w:t xml:space="preserve">二、2023年一季度展望与投资策略</w:t>
              <w:br/>
            </w: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4/</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9</w:t>
            </w:r>
          </w:p>
        </w:tc>
        <w:tc>
          <w:tcPr>
     </w:tcPr>
          <w:p>
            <w:pPr>
              <w:pStyle w:val="EMPTY_CELL_STYLE"/>
            </w:pP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20"/>
        <w:gridCol w:w="3380"/>
        <w:gridCol w:w="2000"/>
        <w:gridCol w:w="2000"/>
        <w:gridCol w:w="3300"/>
        <w:gridCol w:w="20"/>
        <w:gridCol w:w="1"/>
      </w:tblGrid>
      <w:tr>
        <w:trPr>
          <w:trHeight w:hRule="exact" w:val="0"/>
        </w:trPr>
        <w:tc>
          <w:tcPr>
     </w:tcPr>
          <w:p>
            <w:pPr>
              <w:pStyle w:val="EMPTY_CELL_STYLE"/>
              <w:pageBreakBefore/>
            </w:pPr>
            <w:bookmarkStart w:id="4" w:name="JR_PAGE_ANCHOR_0_5"/>
            <w:bookmarkEnd w:id="4"/>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5"/>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兴银理财金雪球稳利1号A款净值型理财产品2022年第四季度报告</w:t>
            </w: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5"/>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r>
      <w:tr>
        <w:trPr>
          <w:trHeight w:hRule="atLeast" w:val="4240"/>
        </w:trPr>
        <w:tc>
          <w:tcPr>
     </w:tcPr>
          <w:p>
            <w:pPr>
              <w:pStyle w:val="EMPTY_CELL_STYLE"/>
            </w:pPr>
          </w:p>
        </w:tc>
        <w:tc>
          <w:tcPr>
            <w:gridSpan w:val="5"/>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1、2023年一季度展望</w:t>
              <w:br/>
              <w:t xml:space="preserve">    展望一季度，我们对债券市场保持中性观点，结构性机会突出，信用债优于利率债，曲线短端优于长端，“短久期+积极杠杆”策略收益确定性较高。资金利率宽松背景下曲线短端投资交易价值显著，长端仍需关注经济修复后的利率中枢抬升压力。从基本面来看，疫情感染病例高位回落，经济复苏动能逐步增强，利率中枢存在上行压力，长久期债券面临一定调整压力。从资金面来看，经济复苏需要货币政策宽松进行配合，央行明确表态2023年货币政策力度不低于去年，短期内资金面将维持宽松，大幅上行概率较小。从利率曲线来看，短端收益率大幅抬升后，收益率曲线较为平坦，1年左右摊余成本理财不断推出，高等级、短久期债券可能表现更佳。</w:t>
              <w:br/>
              <w:t xml:space="preserve">2、投资策略</w:t>
              <w:br/>
              <w:t xml:space="preserve">    一季度我们采取稳中有进的投资策略，坚持中性久期、适度杠杆的组合策略，重点关注高等级、短久期债券的投资配置价值。在年末资金超预期宽松下，短端利率下行明显，2023年一季度资金面大概率维持宽松，关注跨春节等时点冲击下中短久期债券的建仓机会。品种方面，重点关注高等级AAA、金融债、银行资本债投资机会，上述品种流动性最高，兼具配置价值和交易机会，修复速度领先于中低评级信用债。因此，短久期高等级品种资产性价比较高，信用风险可控，我们择机增配高等级信用债，加大波段交易，努力实现平稳的投资收益。</w:t>
            </w:r>
          </w:p>
        </w:tc>
        <w:tc>
          <w:tcPr>
     </w:tcPr>
          <w:p>
            <w:pPr>
              <w:pStyle w:val="EMPTY_CELL_STYLE"/>
            </w:pPr>
          </w:p>
        </w:tc>
        <w:tc>
          <w:tcPr>
     </w:tcPr>
          <w:p>
            <w:pPr>
              <w:pStyle w:val="EMPTY_CELL_STYLE"/>
            </w:pPr>
          </w:p>
        </w:tc>
      </w:tr>
      <w:tr>
        <w:trPr>
          <w:trHeight w:hRule="exact" w:val="5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六. 投资组合情况</w:t>
            </w: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5"/>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1.报告期末产品资产组合情况</w:t>
            </w:r>
          </w:p>
        </w:tc>
        <w:tc>
          <w:tcPr>
     </w:tcPr>
          <w:p>
            <w:pPr>
              <w:pStyle w:val="EMPTY_CELL_STYLE"/>
            </w:pPr>
          </w:p>
        </w:tc>
      </w:tr>
      <w:tr>
        <w:trPr>
          <w:trHeight w:hRule="exact" w:val="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4200"/>
        </w:trPr>
        <w:tc>
          <w:tcPr>
     </w:tcPr>
          <w:p>
            <w:pPr>
              <w:pStyle w:val="EMPTY_CELL_STYLE"/>
            </w:pPr>
          </w:p>
        </w:tc>
        <w:tc>
          <w:tcPr>
     </w:tcPr>
          <w:p>
            <w:pPr>
              <w:pStyle w:val="EMPTY_CELL_STYLE"/>
            </w:pPr>
          </w:p>
        </w:tc>
        <w:tc>
          <w:tcPr>
            <w:gridSpan w:val="5"/>
            <w:shd w:val="clear" w:color="auto" w:fill="FFFFFF"/>
            <w:tcMar>
              <w:top w:w="0" w:type="dxa"/>
              <w:left w:w="0" w:type="dxa"/>
              <w:bottom w:w="0" w:type="dxa"/>
              <w:right w:w="0" w:type="dxa"/>
            </w:tcMar>
          </w:tcPr>
          <w:tbl>
            <w:tblPr>
              <w:tblLayout w:type="fixed"/>
            </w:tblPr>
            <w:tblGrid>
              <w:gridCol w:w="1000"/>
              <w:gridCol w:w="2600"/>
              <w:gridCol w:w="3600"/>
              <w:gridCol w:w="3500"/>
            </w:tblGrid>
            <w:tr>
              <w:trPr>
                <w:trHeight w:hRule="exact" w:val="600"/>
              </w:trPr>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序号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资产类型</w:t>
                        </w:r>
                      </w:p>
                    </w:tc>
                  </w:tr>
                </w:tbl>
                <w:p>
                  <w:pPr>
                    <w:pStyle w:val="EMPTY_CELL_STYLE"/>
                  </w:pPr>
                </w:p>
              </w:tc>
              <w:tc>
                <w:tcPr>
                  <w:shd w:val="clear" w:color="auto" w:fill="FFFFFF"/>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直接投资占产品总资产的比例（%）</w:t>
                        </w:r>
                      </w:p>
                    </w:tc>
                  </w:tr>
                </w:tbl>
                <w:p>
                  <w:pPr>
                    <w:pStyle w:val="EMPTY_CELL_STYLE"/>
                  </w:pPr>
                </w:p>
              </w:tc>
              <w:tc>
                <w:tcPr>
                  <w:shd w:val="clear" w:color="auto" w:fill="F0F8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间接投资占产品总资产的比例（%）</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现金及存款</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26.93</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56.03</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买入返售金融资产</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0.40</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债券投资</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39.91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43.19</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公募基金</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0.38</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委外投资</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33.16</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0.00</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总计</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w:t>
                        </w:r>
                      </w:p>
                    </w:tc>
                  </w:tr>
                </w:tbl>
                <w:p>
                  <w:pPr>
                    <w:pStyle w:val="EMPTY_CELL_STYLE"/>
                  </w:pPr>
                </w:p>
              </w:tc>
            </w:tr>
          </w:tbl>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2.报告期末杠杆融资情况</w:t>
            </w:r>
          </w:p>
        </w:tc>
        <w:tc>
          <w:tcPr>
     </w:tcPr>
          <w:p>
            <w:pPr>
              <w:pStyle w:val="EMPTY_CELL_STYLE"/>
            </w:pPr>
          </w:p>
        </w:tc>
        <w:tc>
          <w:tcPr>
     </w:tcPr>
          <w:p>
            <w:pPr>
              <w:pStyle w:val="EMPTY_CELL_STYLE"/>
            </w:pPr>
          </w:p>
        </w:tc>
      </w:tr>
      <w:tr>
        <w:trPr>
          <w:trHeight w:hRule="atLeast" w:val="1000"/>
        </w:trPr>
        <w:tc>
          <w:tcPr>
     </w:tcPr>
          <w:p>
            <w:pPr>
              <w:pStyle w:val="EMPTY_CELL_STYLE"/>
            </w:pPr>
          </w:p>
        </w:tc>
        <w:tc>
          <w:tcPr>
            <w:gridSpan w:val="5"/>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报告期末本产品总资产未超过该产品净资产规模的140%，符合产品协议对本产品杠杆比例的要求。</w:t>
            </w: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3.投资组合的流动性风险分析</w:t>
            </w:r>
          </w:p>
        </w:tc>
        <w:tc>
          <w:tcPr>
     </w:tcPr>
          <w:p>
            <w:pPr>
              <w:pStyle w:val="EMPTY_CELL_STYLE"/>
            </w:pPr>
          </w:p>
        </w:tc>
        <w:tc>
          <w:tcPr>
     </w:tcPr>
          <w:p>
            <w:pPr>
              <w:pStyle w:val="EMPTY_CELL_STYLE"/>
            </w:pPr>
          </w:p>
        </w:tc>
      </w:tr>
      <w:tr>
        <w:trPr>
          <w:trHeight w:hRule="atLeast" w:val="2320"/>
        </w:trPr>
        <w:tc>
          <w:tcPr>
     </w:tcPr>
          <w:p>
            <w:pPr>
              <w:pStyle w:val="EMPTY_CELL_STYLE"/>
            </w:pPr>
          </w:p>
        </w:tc>
        <w:tc>
          <w:tcPr>
            <w:gridSpan w:val="5"/>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流动性风险是指产品在履行与金融负债有关的义务时遇到资金短缺的风险。本产品的流动性风险一方面来自理财份额持有人可在约定的开放日提出赎回其持有的理财份额，另一方面来自于若投资品种所处的交易市场不活跃，可能带来资产变现困难或产品持仓资产在市场出现剧烈波动的情况下难以以合理价格变现的风险。</w:t>
              <w:br/>
              <w:t xml:space="preserve">    为防范无法支付赎回款而产生的流动性风险，本理财产品管理人将合理安排所投资产期限，持续根据市场变化情况做好投资安排，尽可能降低产品流动性风险，有效保障理财持有人利益。</w:t>
              <w:br/>
              <w:t xml:space="preserve">    报告期内，本理财产品管理人严格遵守相关法律法规以及产品销售协议，对理财产品组合资产的流动性风险进行管理，报告期内未发生流动性风险。</w:t>
            </w: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5/</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9</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3400"/>
        <w:gridCol w:w="2000"/>
        <w:gridCol w:w="2000"/>
        <w:gridCol w:w="3300"/>
        <w:gridCol w:w="1"/>
      </w:tblGrid>
      <w:tr>
        <w:trPr>
          <w:trHeight w:hRule="exact" w:val="0"/>
        </w:trPr>
        <w:tc>
          <w:tcPr>
     </w:tcPr>
          <w:p>
            <w:pPr>
              <w:pStyle w:val="EMPTY_CELL_STYLE"/>
              <w:pageBreakBefore/>
            </w:pPr>
            <w:bookmarkStart w:id="5" w:name="JR_PAGE_ANCHOR_0_6"/>
            <w:bookmarkEnd w:id="5"/>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4"/>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兴银理财金雪球稳利1号A款净值型理财产品2022年第四季度报告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4"/>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atLeast" w:val="1360"/>
        </w:trPr>
        <w:tc>
          <w:tcPr>
     </w:tcPr>
          <w:p>
            <w:pPr>
              <w:pStyle w:val="EMPTY_CELL_STYLE"/>
            </w:pPr>
          </w:p>
        </w:tc>
        <w:tc>
          <w:tcPr>
            <w:gridSpan w:val="4"/>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br/>
            </w:r>
          </w:p>
        </w:tc>
        <w:tc>
          <w:tcPr>
     </w:tcPr>
          <w:p>
            <w:pPr>
              <w:pStyle w:val="EMPTY_CELL_STYLE"/>
            </w:pPr>
          </w:p>
        </w:tc>
      </w:tr>
      <w:tr>
        <w:trPr>
          <w:trHeight w:hRule="exact" w:val="5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4"/>
            <w:tcMar>
              <w:top w:w="0" w:type="dxa"/>
              <w:left w:w="0" w:type="dxa"/>
              <w:bottom w:w="0" w:type="dxa"/>
              <w:right w:w="0" w:type="dxa"/>
            </w:tcMar>
            <w:vAlign w:val="center"/>
          </w:tcPr>
          <w:p>
            <w:pPr>
              <w:ind/>
            </w:pPr>
            <w:r>
              <w:rPr>
                <w:rFonts w:ascii="宋体" w:hAnsi="宋体" w:eastAsia="宋体" w:cs="宋体"/>
                <w:color w:val="000000"/>
                <w:sz w:val="21"/>
                <w:b w:val="true"/>
              </w:rPr>
              <w:t xml:space="preserve">4.报告期末资产持仓前十基本信息</w:t>
            </w:r>
          </w:p>
        </w:tc>
        <w:tc>
          <w:tcPr>
     </w:tcPr>
          <w:p>
            <w:pPr>
              <w:pStyle w:val="EMPTY_CELL_STYLE"/>
            </w:pPr>
          </w:p>
        </w:tc>
      </w:tr>
      <w:tr>
        <w:trPr>
          <w:trHeight w:hRule="exact" w:val="6640"/>
        </w:trPr>
        <w:tc>
          <w:tcPr>
     </w:tcPr>
          <w:p>
            <w:pPr>
              <w:pStyle w:val="EMPTY_CELL_STYLE"/>
            </w:pPr>
          </w:p>
        </w:tc>
        <w:tc>
          <w:tcPr>
            <w:gridSpan w:val="4"/>
            <w:shd w:val="clear" w:color="auto" w:fill="FFFFFF"/>
            <w:tcBorders>
              <w:bottom w:val="single" w:sz="4" w:space="0" w:color="000000"/>
            </w:tcBorders>
            <w:tcMar>
              <w:top w:w="0" w:type="dxa"/>
              <w:left w:w="0" w:type="dxa"/>
              <w:bottom w:w="0" w:type="dxa"/>
              <w:right w:w="0" w:type="dxa"/>
            </w:tcMar>
          </w:tcPr>
          <w:tbl>
            <w:tblPr>
              <w:tblLayout w:type="fixed"/>
            </w:tblPr>
            <w:tblGrid>
              <w:gridCol w:w="1000"/>
              <w:gridCol w:w="4000"/>
              <w:gridCol w:w="2600"/>
              <w:gridCol w:w="3100"/>
            </w:tblGrid>
            <w:tr>
              <w:trPr>
                <w:trHeight w:hRule="exact" w:val="640"/>
              </w:trPr>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1000"/>
                    <w:gridCol w:w="10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序号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资产规模</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3100"/>
                    <w:gridCol w:w="31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占产品资产净值的比例（%）</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光大永明资产-永聚固收124号资产管理产品</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2,656,363,780.74</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15.70</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阳光资产-优享5号资产管理产品</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2,094,438,579.10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12.38</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工商银行杭州分行定期存款20220722001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1,999,598,557.64</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11.82</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人保资管中短期配置8号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1,281,127,664.20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7.57</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工商银行杭州分行定期存款20221024002</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1,199,760,805.65</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7.09</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6</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中国工商银行遵义分行大额存单</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499,535,000.00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2.95</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7</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中国工商银行杭州分行大额存单12</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499,534,000.00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2.95</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8</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中国工商银行兰州分行大额存单</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499,442,500.00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2.95</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招商银行成都分行大额存单20210820</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499,344,000.00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2.95</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太平资产-太平资产稳赢22号资管产品</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407,083,629.89</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2.41</w:t>
                        </w:r>
                      </w:p>
                    </w:tc>
                  </w:tr>
                </w:tbl>
                <w:p>
                  <w:pPr>
                    <w:pStyle w:val="EMPTY_CELL_STYLE"/>
                  </w:pPr>
                </w:p>
              </w:tc>
            </w:tr>
          </w:tbl>
          <w:p>
            <w:pPr>
              <w:pStyle w:val="EMPTY_CELL_STYLE"/>
            </w:pPr>
          </w:p>
        </w:tc>
        <w:tc>
          <w:tcPr>
     </w:tcPr>
          <w:p>
            <w:pPr>
              <w:pStyle w:val="EMPTY_CELL_STYLE"/>
            </w:pPr>
          </w:p>
        </w:tc>
      </w:tr>
      <w:tr>
        <w:trPr>
          <w:trHeight w:hRule="exact" w:val="57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6/</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9</w:t>
            </w:r>
          </w:p>
        </w:tc>
        <w:tc>
          <w:tcPr>
     </w:tcPr>
          <w:p>
            <w:pPr>
              <w:pStyle w:val="EMPTY_CELL_STYLE"/>
            </w:pPr>
          </w:p>
        </w:tc>
        <w:tc>
          <w:tcPr>
     </w:tcPr>
          <w:p>
            <w:pPr>
              <w:pStyle w:val="EMPTY_CELL_STYLE"/>
            </w:pPr>
          </w:p>
        </w:tc>
      </w:tr>
    </w:tbl>
    <w:tbl>
      <w:tblPr>
        <w:tblLayout w:type="fixed"/>
      </w:tblPr>
      <w:tblGrid>
        <w:gridCol w:w="1"/>
        <w:gridCol w:w="200"/>
        <w:gridCol w:w="3200"/>
        <w:gridCol w:w="2000"/>
        <w:gridCol w:w="2000"/>
        <w:gridCol w:w="3300"/>
        <w:gridCol w:w="1"/>
      </w:tblGrid>
      <w:tr>
        <w:trPr>
          <w:trHeight w:hRule="exact" w:val="0"/>
        </w:trPr>
        <w:tc>
          <w:tcPr>
     </w:tcPr>
          <w:p>
            <w:pPr>
              <w:pStyle w:val="EMPTY_CELL_STYLE"/>
              <w:pageBreakBefore/>
            </w:pPr>
            <w:bookmarkStart w:id="6" w:name="JR_PAGE_ANCHOR_0_7"/>
            <w:bookmarkEnd w:id="6"/>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5"/>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兴银理财金雪球稳利1号A款净值型理财产品2022年第四季度报告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5"/>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pPr>
            <w:r>
              <w:rPr>
                <w:rFonts w:ascii="宋体" w:hAnsi="宋体" w:eastAsia="宋体" w:cs="宋体"/>
                <w:color w:val="000000"/>
                <w:sz w:val="21"/>
                <w:b w:val="true"/>
              </w:rPr>
              <w:t xml:space="preserve">5.报告期间关联交易情况</w:t>
            </w: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4"/>
            <w:tcMar>
              <w:top w:w="0" w:type="dxa"/>
              <w:left w:w="0" w:type="dxa"/>
              <w:bottom w:w="0" w:type="dxa"/>
              <w:right w:w="0" w:type="dxa"/>
            </w:tcMar>
            <w:vAlign w:val="top"/>
          </w:tcPr>
          <w:p>
            <w:pPr>
              <w:ind/>
            </w:pPr>
            <w:r>
              <w:rPr>
                <w:rFonts w:ascii="宋体" w:hAnsi="宋体" w:eastAsia="宋体" w:cs="宋体"/>
                <w:color w:val="000000"/>
                <w:sz w:val="20"/>
              </w:rPr>
              <w:t xml:space="preserve">5.1 理财产品在报告期末投资关联方发行、承销的证券的情况</w:t>
            </w:r>
          </w:p>
        </w:tc>
        <w:tc>
          <w:tcPr>
     </w:tcPr>
          <w:p>
            <w:pPr>
              <w:pStyle w:val="EMPTY_CELL_STYLE"/>
            </w:pPr>
          </w:p>
        </w:tc>
      </w:tr>
      <w:tr>
        <w:trPr>
          <w:trHeight w:hRule="exact" w:val="13800"/>
        </w:trPr>
        <w:tc>
          <w:tcPr>
     </w:tcPr>
          <w:p>
            <w:pPr>
              <w:pStyle w:val="EMPTY_CELL_STYLE"/>
            </w:pPr>
          </w:p>
        </w:tc>
        <w:tc>
          <w:tcPr>
            <w:gridSpan w:val="5"/>
            <w:tcMar>
              <w:top w:w="0" w:type="dxa"/>
              <w:left w:w="0" w:type="dxa"/>
              <w:bottom w:w="0" w:type="dxa"/>
              <w:right w:w="0" w:type="dxa"/>
            </w:tcMar>
          </w:tcPr>
          <w:tbl>
            <w:tblPr>
              <w:tblLayout w:type="fixed"/>
            </w:tblPr>
            <w:tblGrid>
              <w:gridCol w:w="1800"/>
              <w:gridCol w:w="3000"/>
              <w:gridCol w:w="2800"/>
              <w:gridCol w:w="31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产品代码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资产面额（元）</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承销商/发行人</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9C212001</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19农四师MTN001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9C212001</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19陕延油MTN001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70,000,000.00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9C212001</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20江北新区MTN002</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60,000,000.00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9C212001</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20南平武夷MTN001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60,000,000.00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9C212001</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20平安不动MTN001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9C212001</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20武进经发MTN001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9C212001</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20新投MTN001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9C212001</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20伊犁财通MTN001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9C212001</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20云能投MTN001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9C212001</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20云能投MTN003</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9C212001</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20浙国贸MTN001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9C212001</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20镇江城建MTN002</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9C212001</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21滨湖建设MTN001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9C212001</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21长三角ABN001优先A</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49,764,000.00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9C212001</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21巢湖城镇MTN002</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9C212001</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21海鸿投资MTN001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9C212001</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21吉安城建PPN002</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9C212001</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21江西铁航ABN001优先</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9C212001</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21椒江国资MTN001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9C212001</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21晋焦煤MTN003</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12,000,000.00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9C212001</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21南通产业MTN002</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9C212001</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21泰兴城投PPN001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15,000,000.00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bl>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7/</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9</w:t>
            </w:r>
          </w:p>
        </w:tc>
        <w:tc>
          <w:tcPr>
     </w:tcPr>
          <w:p>
            <w:pPr>
              <w:pStyle w:val="EMPTY_CELL_STYLE"/>
            </w:pPr>
          </w:p>
        </w:tc>
        <w:tc>
          <w:tcPr>
     </w:tcPr>
          <w:p>
            <w:pPr>
              <w:pStyle w:val="EMPTY_CELL_STYLE"/>
            </w:pPr>
          </w:p>
        </w:tc>
      </w:tr>
    </w:tbl>
    <w:tbl>
      <w:tblPr>
        <w:tblLayout w:type="fixed"/>
      </w:tblPr>
      <w:tblGrid>
        <w:gridCol w:w="1"/>
        <w:gridCol w:w="3400"/>
        <w:gridCol w:w="2000"/>
        <w:gridCol w:w="2000"/>
        <w:gridCol w:w="3300"/>
        <w:gridCol w:w="1"/>
      </w:tblGrid>
      <w:tr>
        <w:trPr>
          <w:trHeight w:hRule="exact" w:val="0"/>
        </w:trPr>
        <w:tc>
          <w:tcPr>
     </w:tcPr>
          <w:p>
            <w:pPr>
              <w:pStyle w:val="EMPTY_CELL_STYLE"/>
              <w:pageBreakBefore/>
            </w:pPr>
            <w:bookmarkStart w:id="7" w:name="JR_PAGE_ANCHOR_0_8"/>
            <w:bookmarkEnd w:id="7"/>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4"/>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兴银理财金雪球稳利1号A款净值型理财产品2022年第四季度报告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4"/>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14400"/>
        </w:trPr>
        <w:tc>
          <w:tcPr>
     </w:tcPr>
          <w:p>
            <w:pPr>
              <w:pStyle w:val="EMPTY_CELL_STYLE"/>
            </w:pPr>
          </w:p>
        </w:tc>
        <w:tc>
          <w:tcPr>
            <w:gridSpan w:val="4"/>
            <w:tcMar>
              <w:top w:w="0" w:type="dxa"/>
              <w:left w:w="0" w:type="dxa"/>
              <w:bottom w:w="0" w:type="dxa"/>
              <w:right w:w="0" w:type="dxa"/>
            </w:tcMar>
          </w:tcPr>
          <w:tbl>
            <w:tblPr>
              <w:tblLayout w:type="fixed"/>
            </w:tblPr>
            <w:tblGrid>
              <w:gridCol w:w="1800"/>
              <w:gridCol w:w="3000"/>
              <w:gridCol w:w="2800"/>
              <w:gridCol w:w="3100"/>
            </w:tblGrid>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9C212001</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21新海连MTN001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9C212001</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21许昌投资PPN001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9C212001</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21云能投GN001(权益出资)</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9C212001</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21重庆高新PPN002</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9C212001</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22德源投资MTN001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9C212001</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22东湖高新MTN001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9C212001</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22福建漳州CP002</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9C212001</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22高淳国资MTN002</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9C212001</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22即墨旅投PPN001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9C212001</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22嘉兴高新SCP002</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9C212001</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22建安投资CP001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9C212001</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22胶州城投SCP002</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9C212001</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22昆明交通SCP001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18,000,000.00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9C212001</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22临沂城发MTN001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9C212001</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22泉州文旅MTN001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9C212001</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22山东海运SCP001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9C212001</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22宿迁经开CP001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9C212001</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22宿州城投CP003</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9C212001</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22乌高新SCP001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9C212001</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22吴中国太SCP004</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9C212001</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22吴中国太SCP007</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9C212001</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22湘建工SCP001(科创票据)</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70,000,000.00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9C212001</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22徐州高新MTN001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9C212001</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22镇江交通CP001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8,000,000.00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bl>
          <w:p>
            <w:pPr>
              <w:pStyle w:val="EMPTY_CELL_STYLE"/>
            </w:pPr>
          </w:p>
        </w:tc>
        <w:tc>
          <w:tcPr>
     </w:tcPr>
          <w:p>
            <w:pPr>
              <w:pStyle w:val="EMPTY_CELL_STYLE"/>
            </w:pPr>
          </w:p>
        </w:tc>
      </w:tr>
      <w:tr>
        <w:trPr>
          <w:trHeight w:hRule="exac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8/</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9</w:t>
            </w:r>
          </w:p>
        </w:tc>
        <w:tc>
          <w:tcPr>
     </w:tcPr>
          <w:p>
            <w:pPr>
              <w:pStyle w:val="EMPTY_CELL_STYLE"/>
            </w:pPr>
          </w:p>
        </w:tc>
        <w:tc>
          <w:tcPr>
     </w:tcPr>
          <w:p>
            <w:pPr>
              <w:pStyle w:val="EMPTY_CELL_STYLE"/>
            </w:pPr>
          </w:p>
        </w:tc>
      </w:tr>
    </w:tbl>
    <w:tbl>
      <w:tblPr>
        <w:tblLayout w:type="fixed"/>
      </w:tblPr>
      <w:tblGrid>
        <w:gridCol w:w="1"/>
        <w:gridCol w:w="40"/>
        <w:gridCol w:w="160"/>
        <w:gridCol w:w="3200"/>
        <w:gridCol w:w="2000"/>
        <w:gridCol w:w="2000"/>
        <w:gridCol w:w="3300"/>
        <w:gridCol w:w="40"/>
        <w:gridCol w:w="1"/>
      </w:tblGrid>
      <w:tr>
        <w:trPr>
          <w:trHeight w:hRule="exact" w:val="0"/>
        </w:trPr>
        <w:tc>
          <w:tcPr>
     </w:tcPr>
          <w:p>
            <w:pPr>
              <w:pStyle w:val="EMPTY_CELL_STYLE"/>
              <w:pageBreakBefore/>
            </w:pPr>
            <w:bookmarkStart w:id="8" w:name="JR_PAGE_ANCHOR_0_9"/>
            <w:bookmarkEnd w:id="8"/>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兴银理财金雪球稳利1号A款净值型理财产品2022年第四季度报告</w:t>
            </w: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4"/>
            <w:tcMar>
              <w:top w:w="0" w:type="dxa"/>
              <w:left w:w="0" w:type="dxa"/>
              <w:bottom w:w="0" w:type="dxa"/>
              <w:right w:w="0" w:type="dxa"/>
            </w:tcMar>
            <w:vAlign w:val="top"/>
          </w:tcPr>
          <w:p>
            <w:pPr>
              <w:ind/>
            </w:pPr>
            <w:r>
              <w:rPr>
                <w:rFonts w:ascii="宋体" w:hAnsi="宋体" w:eastAsia="宋体" w:cs="宋体"/>
                <w:color w:val="000000"/>
                <w:sz w:val="20"/>
              </w:rPr>
              <w:t xml:space="preserve">5.2 理财产品在报告期内其他关联交易</w:t>
            </w:r>
          </w:p>
        </w:tc>
        <w:tc>
          <w:tcPr>
     </w:tcPr>
          <w:p>
            <w:pPr>
              <w:pStyle w:val="EMPTY_CELL_STYLE"/>
            </w:pPr>
          </w:p>
        </w:tc>
        <w:tc>
          <w:tcPr>
     </w:tcPr>
          <w:p>
            <w:pPr>
              <w:pStyle w:val="EMPTY_CELL_STYLE"/>
            </w:pPr>
          </w:p>
        </w:tc>
      </w:tr>
      <w:tr>
        <w:trPr>
          <w:trHeight w:hRule="exact" w:val="600"/>
        </w:trPr>
        <w:tc>
          <w:tcPr>
     </w:tcPr>
          <w:p>
            <w:pPr>
              <w:pStyle w:val="EMPTY_CELL_STYLE"/>
            </w:pPr>
          </w:p>
        </w:tc>
        <w:tc>
          <w:tcPr>
            <w:gridSpan w:val="6"/>
            <w:tcMar>
              <w:top w:w="0" w:type="dxa"/>
              <w:left w:w="0" w:type="dxa"/>
              <w:bottom w:w="0" w:type="dxa"/>
              <w:right w:w="0" w:type="dxa"/>
            </w:tcMar>
          </w:tcPr>
          <w:tbl>
            <w:tblPr>
              <w:tblLayout w:type="fixed"/>
            </w:tblPr>
            <w:tblGrid>
              <w:gridCol w:w="1600"/>
              <w:gridCol w:w="2200"/>
              <w:gridCol w:w="2200"/>
              <w:gridCol w:w="1800"/>
              <w:gridCol w:w="29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5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产品代码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交易标的</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交易金额（万元）</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800"/>
                    <w:gridCol w:w="1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交易类型</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900"/>
                    <w:gridCol w:w="29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关联方名称</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600"/>
        </w:trPr>
        <w:tc>
          <w:tcPr>
     </w:tcPr>
          <w:p>
            <w:pPr>
              <w:pStyle w:val="EMPTY_CELL_STYLE"/>
            </w:pPr>
          </w:p>
        </w:tc>
        <w:tc>
          <w:tcPr>
            <w:gridSpan w:val="6"/>
            <w:tcMar>
              <w:top w:w="0" w:type="dxa"/>
              <w:left w:w="0" w:type="dxa"/>
              <w:bottom w:w="0" w:type="dxa"/>
              <w:right w:w="0" w:type="dxa"/>
            </w:tcMar>
          </w:tcPr>
          <w:tbl>
            <w:tblPr>
              <w:tblLayout w:type="fixed"/>
            </w:tblPr>
            <w:tblGrid>
              <w:gridCol w:w="10700"/>
              <w:gridCol w:w="10700"/>
            </w:tblGrid>
            <w:tr>
              <w:trPr>
                <w:trHeight w:hRule="exact" w:val="600"/>
              </w:trPr>
              <w:tc>
                <w:tcPr>
                  <w:shd w:val="clear" w:color="auto" w:fill="FFFFFF"/>
                  <w:tcBorders>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06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无</w:t>
                        </w:r>
                      </w:p>
                    </w:tc>
                    <w:tc>
                      <w:tcPr>
     </w:tcPr>
                      <w:p>
                        <w:pPr>
                          <w:pStyle w:val="EMPTY_CELL_STYLE"/>
                        </w:pP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4"/>
            <w:tcMar>
              <w:top w:w="0" w:type="dxa"/>
              <w:left w:w="0" w:type="dxa"/>
              <w:bottom w:w="0" w:type="dxa"/>
              <w:right w:w="0" w:type="dxa"/>
            </w:tcMar>
            <w:vAlign w:val="top"/>
          </w:tcPr>
          <w:p>
            <w:pPr>
              <w:ind/>
            </w:pPr>
            <w:r>
              <w:rPr>
                <w:rFonts w:ascii="宋体" w:hAnsi="宋体" w:eastAsia="宋体" w:cs="宋体"/>
                <w:color w:val="000000"/>
                <w:sz w:val="20"/>
              </w:rPr>
              <w:t xml:space="preserve">5.3 理财产品在报告期内中的重大关联交易</w:t>
            </w:r>
          </w:p>
        </w:tc>
        <w:tc>
          <w:tcPr>
     </w:tcPr>
          <w:p>
            <w:pPr>
              <w:pStyle w:val="EMPTY_CELL_STYLE"/>
            </w:pPr>
          </w:p>
        </w:tc>
        <w:tc>
          <w:tcPr>
     </w:tcPr>
          <w:p>
            <w:pPr>
              <w:pStyle w:val="EMPTY_CELL_STYLE"/>
            </w:pPr>
          </w:p>
        </w:tc>
      </w:tr>
      <w:tr>
        <w:trPr>
          <w:trHeight w:hRule="exact" w:val="600"/>
        </w:trPr>
        <w:tc>
          <w:tcPr>
     </w:tcPr>
          <w:p>
            <w:pPr>
              <w:pStyle w:val="EMPTY_CELL_STYLE"/>
            </w:pPr>
          </w:p>
        </w:tc>
        <w:tc>
          <w:tcPr>
            <w:gridSpan w:val="6"/>
            <w:tcMar>
              <w:top w:w="0" w:type="dxa"/>
              <w:left w:w="0" w:type="dxa"/>
              <w:bottom w:w="0" w:type="dxa"/>
              <w:right w:w="0" w:type="dxa"/>
            </w:tcMar>
          </w:tcPr>
          <w:tbl>
            <w:tblPr>
              <w:tblLayout w:type="fixed"/>
            </w:tblPr>
            <w:tblGrid>
              <w:gridCol w:w="1600"/>
              <w:gridCol w:w="2200"/>
              <w:gridCol w:w="2200"/>
              <w:gridCol w:w="1800"/>
              <w:gridCol w:w="29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5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产品代码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资产面额（元）</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800"/>
                    <w:gridCol w:w="1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交易类型</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900"/>
                    <w:gridCol w:w="29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关联方名称</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600"/>
        </w:trPr>
        <w:tc>
          <w:tcPr>
     </w:tcPr>
          <w:p>
            <w:pPr>
              <w:pStyle w:val="EMPTY_CELL_STYLE"/>
            </w:pPr>
          </w:p>
        </w:tc>
        <w:tc>
          <w:tcPr>
            <w:gridSpan w:val="6"/>
            <w:tcMar>
              <w:top w:w="0" w:type="dxa"/>
              <w:left w:w="0" w:type="dxa"/>
              <w:bottom w:w="0" w:type="dxa"/>
              <w:right w:w="0" w:type="dxa"/>
            </w:tcMar>
          </w:tcPr>
          <w:tbl>
            <w:tblPr>
              <w:tblLayout w:type="fixed"/>
            </w:tblPr>
            <w:tblGrid>
              <w:gridCol w:w="10700"/>
              <w:gridCol w:w="10700"/>
            </w:tblGrid>
            <w:tr>
              <w:trPr>
                <w:trHeight w:hRule="exact" w:val="600"/>
              </w:trPr>
              <w:tc>
                <w:tcPr>
                  <w:shd w:val="clear" w:color="auto" w:fill="FFFFFF"/>
                  <w:tcBorders>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06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无</w:t>
                        </w:r>
                      </w:p>
                    </w:tc>
                    <w:tc>
                      <w:tcPr>
     </w:tcPr>
                      <w:p>
                        <w:pPr>
                          <w:pStyle w:val="EMPTY_CELL_STYLE"/>
                        </w:pP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1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6"/>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6.投资账户信息</w:t>
            </w:r>
          </w:p>
        </w:tc>
        <w:tc>
          <w:tcPr>
     </w:tcPr>
          <w:p>
            <w:pPr>
              <w:pStyle w:val="EMPTY_CELL_STYLE"/>
            </w:pPr>
          </w:p>
        </w:tc>
      </w:tr>
      <w:tr>
        <w:trPr>
          <w:trHeight w:hRule="exact" w:val="1200"/>
        </w:trPr>
        <w:tc>
          <w:tcPr>
     </w:tcPr>
          <w:p>
            <w:pPr>
              <w:pStyle w:val="EMPTY_CELL_STYLE"/>
            </w:pPr>
          </w:p>
        </w:tc>
        <w:tc>
          <w:tcPr>
     </w:tcPr>
          <w:p>
            <w:pPr>
              <w:pStyle w:val="EMPTY_CELL_STYLE"/>
            </w:pPr>
          </w:p>
        </w:tc>
        <w:tc>
          <w:tcPr>
            <w:gridSpan w:val="6"/>
            <w:shd w:val="clear" w:color="auto" w:fill="FFFFFF"/>
            <w:tcMar>
              <w:top w:w="0" w:type="dxa"/>
              <w:left w:w="0" w:type="dxa"/>
              <w:bottom w:w="0" w:type="dxa"/>
              <w:right w:w="0" w:type="dxa"/>
            </w:tcMar>
          </w:tcPr>
          <w:tbl>
            <w:tblPr>
              <w:tblLayout w:type="fixed"/>
            </w:tblPr>
            <w:tblGrid>
              <w:gridCol w:w="1000"/>
              <w:gridCol w:w="2200"/>
              <w:gridCol w:w="3000"/>
              <w:gridCol w:w="4500"/>
            </w:tblGrid>
            <w:tr>
              <w:trPr>
                <w:trHeight w:hRule="exact" w:val="600"/>
              </w:trPr>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序号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账户类型</w:t>
                        </w:r>
                      </w:p>
                    </w:tc>
                  </w:tr>
                </w:tbl>
                <w:p>
                  <w:pPr>
                    <w:pStyle w:val="EMPTY_CELL_STYLE"/>
                  </w:pPr>
                </w:p>
              </w:tc>
              <w:tc>
                <w:tcPr>
                  <w:shd w:val="clear" w:color="auto" w:fill="FFFFFF"/>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账户编号</w:t>
                        </w:r>
                      </w:p>
                    </w:tc>
                  </w:tr>
                </w:tbl>
                <w:p>
                  <w:pPr>
                    <w:pStyle w:val="EMPTY_CELL_STYLE"/>
                  </w:pPr>
                </w:p>
              </w:tc>
              <w:tc>
                <w:tcPr>
                  <w:shd w:val="clear" w:color="auto" w:fill="B3B4B5"/>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500"/>
                    <w:gridCol w:w="45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账户名称</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托管账户</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051010100101029516</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500"/>
                    <w:gridCol w:w="4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兴银理财金雪球稳利1号A款</w:t>
                        </w:r>
                      </w:p>
                    </w:tc>
                  </w:tr>
                </w:tbl>
                <w:p>
                  <w:pPr>
                    <w:pStyle w:val="EMPTY_CELL_STYLE"/>
                  </w:pPr>
                </w:p>
              </w:tc>
            </w:tr>
          </w:tbl>
          <w:p>
            <w:pPr>
              <w:pStyle w:val="EMPTY_CELL_STYLE"/>
            </w:pPr>
          </w:p>
        </w:tc>
        <w:tc>
          <w:tcPr>
     </w:tcPr>
          <w:p>
            <w:pPr>
              <w:pStyle w:val="EMPTY_CELL_STYLE"/>
            </w:pPr>
          </w:p>
        </w:tc>
      </w:tr>
      <w:tr>
        <w:trPr>
          <w:trHeight w:hRule="exact" w:val="9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center"/>
          </w:tcPr>
          <w:p>
            <w:pPr>
              <w:ind/>
              <w:jc w:val="right"/>
            </w:pPr>
            <w:r>
              <w:rPr>
                <w:rFonts w:ascii="宋体" w:hAnsi="宋体" w:eastAsia="宋体" w:cs="宋体"/>
                <w:color w:val="000000"/>
                <w:sz w:val="21"/>
              </w:rPr>
              <w:t xml:space="preserve">兴银理财有限责任公司</w:t>
            </w: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top"/>
          </w:tcPr>
          <w:p>
            <w:pPr>
              <w:ind/>
              <w:jc w:val="right"/>
            </w:pPr>
            <w:r>
              <w:rPr>
                <w:rFonts w:ascii="宋体" w:hAnsi="宋体" w:eastAsia="宋体" w:cs="宋体"/>
                <w:color w:val="000000"/>
                <w:sz w:val="21"/>
              </w:rPr>
              <w:t xml:space="preserve">2023年1月28日</w:t>
            </w:r>
          </w:p>
        </w:tc>
        <w:tc>
          <w:tcPr>
     </w:tcPr>
          <w:p>
            <w:pPr>
              <w:pStyle w:val="EMPTY_CELL_STYLE"/>
            </w:pPr>
          </w:p>
        </w:tc>
        <w:tc>
          <w:tcPr>
     </w:tcPr>
          <w:p>
            <w:pPr>
              <w:pStyle w:val="EMPTY_CELL_STYLE"/>
            </w:pPr>
          </w:p>
        </w:tc>
      </w:tr>
      <w:tr>
        <w:trPr>
          <w:trHeight w:hRule="exact" w:val="78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9/</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9</w:t>
            </w:r>
          </w:p>
        </w:tc>
        <w:tc>
          <w:tcPr>
     </w:tcPr>
          <w:p>
            <w:pPr>
              <w:pStyle w:val="EMPTY_CELL_STYLE"/>
            </w:pPr>
          </w:p>
        </w:tc>
        <w:tc>
          <w:tcPr>
     </w:tcPr>
          <w:p>
            <w:pPr>
              <w:pStyle w:val="EMPTY_CELL_STYLE"/>
            </w:pPr>
          </w:p>
        </w:tc>
        <w:tc>
          <w:tcPr>
     </w:tcPr>
          <w:p>
            <w:pPr>
              <w:pStyle w:val="EMPTY_CELL_STYLE"/>
            </w:pPr>
          </w:p>
        </w:tc>
      </w:tr>
    </w:tbl>
    <w:sectPr>
      <w:pgSz w:w="11900" w:h="16840" w:orient="portrait"/>
      <w:pgMar w:top="600" w:right="560" w:bottom="240" w:left="600" w:header="0" w:footer="0" w:gutter="0"/>
      <w:docGrid w:linePitch="360"/>
    </w:sectPr>
  </w:body>
</w:document>
</file>

<file path=word/settings.xml><?xml version="1.0" encoding="utf-8"?>
<w:settings xmlns:w="http://schemas.openxmlformats.org/wordprocessingml/2006/main">
  <w:defaultTabStop w:val="800"/>
</w:settings>
</file>

<file path=word/styles.xml><?xml version="1.0" encoding="utf-8"?>
<w:styles xmlns:r="http://schemas.openxmlformats.org/officeDocument/2006/relationships" xmlns:w="http://schemas.openxmlformats.org/wordprocessingml/2006/main">
  <w:docDefaults>
    <w:rPrDefault>
  </w:rPrDefault>
    <w:pPrDefault>
      <w:pPr>
        <w:spacing w:line="240"/>
      </w:pPr>
    </w:pPrDefault>
  </w:docDefaults>
  <w:style w:type="paragraph" w:styleId="EMPTY_CELL_STYLE">
    <w:name w:val="EMPTY_CELL_STYLE"/>
    <w:qFormat/>
    <w:pPr>
      <w:ind/>
    </w:pPr>
    <w:rPr>
      <w:rFonts w:ascii="SansSerif" w:hAnsi="SansSerif" w:eastAsia="SansSerif" w:cs="SansSerif"/>
      <w:color w:val="000000"/>
      <w:sz w:val="1"/>
    </w:rPr>
  </w:style>
  <w:style w:type="paragraph" w:styleId="Table_TH">
    <w:name w:val="Table_TH"/>
    <w:qFormat/>
    <w:pPr>
      <w:ind/>
    </w:pPr>
    <w:rPr>
      <w:rFonts w:ascii="SansSerif" w:hAnsi="SansSerif" w:eastAsia="SansSerif" w:cs="SansSerif"/>
      <w:color w:val="000000"/>
      <w:sz w:val="20"/>
    </w:rPr>
  </w:style>
  <w:style w:type="paragraph" w:styleId="Table_CH">
    <w:name w:val="Table_CH"/>
    <w:qFormat/>
    <w:pPr>
      <w:ind/>
    </w:pPr>
    <w:rPr>
      <w:rFonts w:ascii="SansSerif" w:hAnsi="SansSerif" w:eastAsia="SansSerif" w:cs="SansSerif"/>
      <w:color w:val="000000"/>
      <w:sz w:val="20"/>
    </w:rPr>
  </w:style>
  <w:style w:type="paragraph" w:styleId="Table_TD">
    <w:name w:val="Table_TD"/>
    <w:qFormat/>
    <w:pPr>
      <w:ind/>
    </w:pPr>
    <w:rPr>
      <w:rFonts w:ascii="SansSerif" w:hAnsi="SansSerif" w:eastAsia="SansSerif" w:cs="SansSerif"/>
      <w:color w:val="000000"/>
      <w:sz w:val="20"/>
    </w:rPr>
  </w:style>
  <w:style w:type="paragraph" w:styleId="Table_CD">
    <w:name w:val="Table_CD"/>
    <w:qFormat/>
    <w:pPr>
      <w:ind/>
    </w:pPr>
    <w:rPr>
      <w:rFonts w:ascii="SansSerif" w:hAnsi="SansSerif" w:eastAsia="SansSerif" w:cs="SansSerif"/>
      <w:color w:val="000000"/>
      <w:sz w:val="20"/>
    </w:rPr>
  </w:style>
  <w:style w:type="paragraph" w:styleId="Table 3_TH">
    <w:name w:val="Table 3_TH"/>
    <w:qFormat/>
    <w:pPr>
      <w:ind/>
    </w:pPr>
    <w:rPr>
      <w:rFonts w:ascii="SansSerif" w:hAnsi="SansSerif" w:eastAsia="SansSerif" w:cs="SansSerif"/>
      <w:color w:val="000000"/>
      <w:sz w:val="20"/>
    </w:rPr>
  </w:style>
  <w:style w:type="paragraph" w:styleId="Table 3_CH">
    <w:name w:val="Table 3_CH"/>
    <w:qFormat/>
    <w:pPr>
      <w:ind/>
    </w:pPr>
    <w:rPr>
      <w:rFonts w:ascii="SansSerif" w:hAnsi="SansSerif" w:eastAsia="SansSerif" w:cs="SansSerif"/>
      <w:color w:val="000000"/>
      <w:sz w:val="20"/>
    </w:rPr>
  </w:style>
  <w:style w:type="paragraph" w:styleId="Table 3_TD">
    <w:name w:val="Table 3_TD"/>
    <w:qFormat/>
    <w:pPr>
      <w:ind/>
    </w:pPr>
    <w:rPr>
      <w:rFonts w:ascii="SansSerif" w:hAnsi="SansSerif" w:eastAsia="SansSerif" w:cs="SansSerif"/>
      <w:color w:val="000000"/>
      <w:sz w:val="20"/>
    </w:rPr>
  </w:style>
  <w:style w:type="paragraph" w:styleId="Table 4_TH">
    <w:name w:val="Table 4_TH"/>
    <w:qFormat/>
    <w:pPr>
      <w:ind/>
    </w:pPr>
    <w:rPr>
      <w:rFonts w:ascii="SansSerif" w:hAnsi="SansSerif" w:eastAsia="SansSerif" w:cs="SansSerif"/>
      <w:color w:val="000000"/>
      <w:sz w:val="20"/>
    </w:rPr>
  </w:style>
  <w:style w:type="paragraph" w:styleId="Table 4_CH">
    <w:name w:val="Table 4_CH"/>
    <w:qFormat/>
    <w:pPr>
      <w:ind/>
    </w:pPr>
    <w:rPr>
      <w:rFonts w:ascii="SansSerif" w:hAnsi="SansSerif" w:eastAsia="SansSerif" w:cs="SansSerif"/>
      <w:color w:val="000000"/>
      <w:sz w:val="20"/>
    </w:rPr>
  </w:style>
  <w:style w:type="paragraph" w:styleId="Table 4_TD">
    <w:name w:val="Table 4_TD"/>
    <w:qFormat/>
    <w:pPr>
      <w:ind/>
    </w:pPr>
    <w:rPr>
      <w:rFonts w:ascii="SansSerif" w:hAnsi="SansSerif" w:eastAsia="SansSerif" w:cs="SansSerif"/>
      <w:color w:val="000000"/>
      <w:sz w:val="20"/>
    </w:rPr>
  </w:style>
  <w:style w:type="paragraph" w:styleId="Table 1_TH">
    <w:name w:val="Table 1_TH"/>
    <w:qFormat/>
    <w:pPr>
      <w:ind/>
    </w:pPr>
    <w:rPr>
      <w:rFonts w:ascii="SansSerif" w:hAnsi="SansSerif" w:eastAsia="SansSerif" w:cs="SansSerif"/>
      <w:color w:val="000000"/>
      <w:sz w:val="20"/>
    </w:rPr>
  </w:style>
  <w:style w:type="paragraph" w:styleId="Table 1_CH">
    <w:name w:val="Table 1_CH"/>
    <w:qFormat/>
    <w:pPr>
      <w:ind/>
    </w:pPr>
    <w:rPr>
      <w:rFonts w:ascii="SansSerif" w:hAnsi="SansSerif" w:eastAsia="SansSerif" w:cs="SansSerif"/>
      <w:color w:val="000000"/>
      <w:sz w:val="20"/>
    </w:rPr>
  </w:style>
  <w:style w:type="paragraph" w:styleId="Table 1_TD">
    <w:name w:val="Table 1_TD"/>
    <w:qFormat/>
    <w:pPr>
      <w:ind/>
    </w:pPr>
    <w:rPr>
      <w:rFonts w:ascii="SansSerif" w:hAnsi="SansSerif" w:eastAsia="SansSerif" w:cs="SansSerif"/>
      <w:color w:val="000000"/>
      <w:sz w:val="20"/>
    </w:rPr>
  </w:style>
  <w:style w:type="paragraph" w:styleId="Table 2_TH">
    <w:name w:val="Table 2_TH"/>
    <w:qFormat/>
    <w:pPr>
      <w:ind/>
    </w:pPr>
    <w:rPr>
      <w:rFonts w:ascii="SansSerif" w:hAnsi="SansSerif" w:eastAsia="SansSerif" w:cs="SansSerif"/>
      <w:color w:val="000000"/>
      <w:sz w:val="20"/>
    </w:rPr>
  </w:style>
  <w:style w:type="paragraph" w:styleId="Table 2_CH">
    <w:name w:val="Table 2_CH"/>
    <w:qFormat/>
    <w:pPr>
      <w:ind/>
    </w:pPr>
    <w:rPr>
      <w:rFonts w:ascii="SansSerif" w:hAnsi="SansSerif" w:eastAsia="SansSerif" w:cs="SansSerif"/>
      <w:color w:val="000000"/>
      <w:sz w:val="20"/>
    </w:rPr>
  </w:style>
  <w:style w:type="paragraph" w:styleId="Table 2_TD">
    <w:name w:val="Table 2_TD"/>
    <w:qFormat/>
    <w:pPr>
      <w:ind/>
    </w:pPr>
    <w:rPr>
      <w:rFonts w:ascii="SansSerif" w:hAnsi="SansSerif" w:eastAsia="SansSerif" w:cs="SansSerif"/>
      <w:color w:val="000000"/>
      <w:sz w:val="20"/>
    </w:rPr>
  </w:style>
  <w:style w:type="paragraph" w:styleId="Table 5_TH">
    <w:name w:val="Table 5_TH"/>
    <w:qFormat/>
    <w:pPr>
      <w:ind/>
    </w:pPr>
    <w:rPr>
      <w:rFonts w:ascii="SansSerif" w:hAnsi="SansSerif" w:eastAsia="SansSerif" w:cs="SansSerif"/>
      <w:color w:val="000000"/>
      <w:sz w:val="20"/>
    </w:rPr>
  </w:style>
  <w:style w:type="paragraph" w:styleId="Table 5_CH">
    <w:name w:val="Table 5_CH"/>
    <w:qFormat/>
    <w:pPr>
      <w:ind/>
    </w:pPr>
    <w:rPr>
      <w:rFonts w:ascii="SansSerif" w:hAnsi="SansSerif" w:eastAsia="SansSerif" w:cs="SansSerif"/>
      <w:color w:val="000000"/>
      <w:sz w:val="20"/>
    </w:rPr>
  </w:style>
  <w:style w:type="paragraph" w:styleId="Table 5_TD">
    <w:name w:val="Table 5_TD"/>
    <w:qFormat/>
    <w:pPr>
      <w:ind/>
    </w:pPr>
    <w:rPr>
      <w:rFonts w:ascii="SansSerif" w:hAnsi="SansSerif" w:eastAsia="SansSerif" w:cs="SansSerif"/>
      <w:color w:val="000000"/>
      <w:sz w:val="20"/>
    </w:rPr>
  </w:style>
  <w:style w:type="paragraph" w:styleId="Table 6_TH">
    <w:name w:val="Table 6_TH"/>
    <w:qFormat/>
    <w:pPr>
      <w:ind/>
    </w:pPr>
    <w:rPr>
      <w:rFonts w:ascii="SansSerif" w:hAnsi="SansSerif" w:eastAsia="SansSerif" w:cs="SansSerif"/>
      <w:color w:val="000000"/>
      <w:sz w:val="20"/>
    </w:rPr>
  </w:style>
  <w:style w:type="paragraph" w:styleId="Table 6_CH">
    <w:name w:val="Table 6_CH"/>
    <w:qFormat/>
    <w:pPr>
      <w:ind/>
    </w:pPr>
    <w:rPr>
      <w:rFonts w:ascii="SansSerif" w:hAnsi="SansSerif" w:eastAsia="SansSerif" w:cs="SansSerif"/>
      <w:color w:val="000000"/>
      <w:sz w:val="20"/>
    </w:rPr>
  </w:style>
  <w:style w:type="paragraph" w:styleId="Table 6_TD">
    <w:name w:val="Table 6_TD"/>
    <w:qFormat/>
    <w:pPr>
      <w:ind/>
    </w:pPr>
    <w:rPr>
      <w:rFonts w:ascii="SansSerif" w:hAnsi="SansSerif" w:eastAsia="SansSerif" w:cs="SansSerif"/>
      <w:color w:val="000000"/>
      <w:sz w:val="20"/>
    </w:rPr>
  </w:style>
</w:styles>
</file>

<file path=word/_rels/document.xml.rels><?xml version="1.0" encoding="UTF-8"?>
<Relationships xmlns="http://schemas.openxmlformats.org/package/2006/relationships">
 <Relationship Id="rId1" Type="http://schemas.openxmlformats.org/officeDocument/2006/relationships/styles" Target="styles.xml"/>
 <Relationship Id="rId2" Type="http://schemas.openxmlformats.org/officeDocument/2006/relationships/settings" Target="settings.xml"/>
</Relationships>

</file>

<file path=docProps/app.xml><?xml version="1.0" encoding="utf-8"?>
<Properties xmlns="http://schemas.openxmlformats.org/officeDocument/2006/extended-properties">
  <Application>JasperReports Library version 6.6.0</Application>
</Properties>
</file>

<file path=docProps/core.xml><?xml version="1.0" encoding="utf-8"?>
<coreProperties xmlns="http://schemas.openxmlformats.org/package/2006/metadata/core-properties" xmlns:cp="http://schemas.openxmlformats.org/package/2006/metadata/core-properties" xmlns:dc="http://purl.org/dc/elements/1.1/" xmlns:dcterms="http://purl.org/dc/terms/" xmlns:xsi="http://www.w3.org/2001/XMLSchema-instance">
</coreProperties>
</file>