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兴银理财金雪球稳利1号G款净值型理财产品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兴银理财金雪球稳利1号G款净值型理财产品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Z7002022000066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4,695,165,199.32份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产品9C212007自成立日以来，累计净值增长率为1.8680%，年化累计净值增长率为2.3034%。</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1.01868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1.01868</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4,782,865,978.05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固定收益部投资助理、投资经理，负责多款上市企业专户产品及公募产品管理，管理规模超过550亿，产品业绩优异，擅长利率债交易及信用债套利挖掘，投资风格灵活，专注于多策略获取组合超额回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3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3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中原银行郑州分行大额存单02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499,490,500.00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407,083,629.89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406,282,798.23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301,989,194.03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301,499,421.21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152,427,277.98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Z存放同业（线上）20220530002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149,969,818.29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139,987,540.00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21信地02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104,640,165.00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100,390,000.00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19蓉城文化MTN001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21潞安MTN004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21平湖城投MTN001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21台州经济MTN001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21振业集团MTN001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22楚天智能MTN001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22海尔金控SCP005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22合肥高新MTN001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22河钢集MTN001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22金凤凰MTN001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22鲁黄金MTN002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22天心城投SCP002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22新水国资SCP001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22宜春交通MTN001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22云建投SCP026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22兖矿能源MTN002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兴银理财金雪球稳利1号G款净值型理财产品2022年第四季度报告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051010100101359995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兴银理财金雪球稳利1号G款净值型理财产品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7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