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兴银理财金雪球稳利年年兴C款净值型理财产品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兴银理财金雪球稳利年年兴C款净值型理财产品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781,440,398.82份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3.70%--4.20%/4.20%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产品9C212130自成立日以来，累计净值增长率为3.3590%，年化累计净值增长率为3.4732%。</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1.03359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1.03359</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807,688,935.24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69,998,460.00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69,996,500.00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69,993,770.00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59,996,580.00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20黄冈城投PPN002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30,236,790.00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29,997,870.00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20郴投集团MTN001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29,984,520.00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19景国资MTN001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29,520,480.00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21高淳建设MTN001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20,113,460.00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21桐庐国运MTN002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20,070,980.00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21山东公用MTN002(绿色)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051010100101232087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兴银理财金雪球稳利年年兴C款净值型理财产品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