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兴银理财兴承恒享开放式1号净值型理财产品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兴银理财兴承恒享开放式1号净值型理财产品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3,127,059,521.48份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1,490,758,585.54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1,636,300,935.94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产品9D21001A自成立日以来，累计净值增长率为-3.7870%，年化累计净值增长率为-2.3076%。</w:t>
              <w:br/>
              <w:t xml:space="preserve">产品9D21001B自成立日以来，累计净值增长率为-3.4790%，年化累计净值增长率为-2.1199%。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3,013,666,900.88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1,434,299,159.71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1,579,367,741.17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br/>
              <w:t xml:space="preserve">    吕雯丽女士，复旦大学财务管理学士、金融硕士，7年债券投资研究经验，曾任华安基金管理有限公司信用研究员，于2019年加入兴银理财有限责任公司，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2022年在宏观方面，国内地产数据持续不振，宏观经济下行压力较大，海外流动性收缩，资源品价格居高不下，通胀压力不断增大。加上A股市场，近两年赛道基金发行多，赛道估值较高。伴随黑天鹅事件，市场波动率显著加大，大宗商品价格大涨，各国股市普遍出现显著下跌，A股市场风险偏好进一步下行。受疫情反复影响，4月市场持续下跌。4月末政策释放利好，市场企稳，进入反弹。5-6月叠加流动性宽松，前期跌幅较深的以汽车零部件、新能源汽车等板块反弹较多。7月开始市场进入震荡下行，国内地产数据仍有压力，宏观经济恢复仍待观察，同时疫情反复、防控政策总体仍较严，对经济生活造成明显影响。同时海外局部战争仍未结束，通胀压力持续。10月以来权益市场出现结构性行情，计算机与医药由于产业政策利好首先出现估值修复，10月底开始港股、消费、地产与地产链受益于产业政策利好与疫情管控放松的预期出现反弹。11月底上市国企出现一波估值修复，整体权益市场出现明显轮动特征。12月市场围绕复苏与抗疫轮动，但整体情绪偏弱，风格偏消费和大盘蓝筹。2023年以来随着疫情影响高峰逐渐过去，高频数据显示经济活动正在修复，当前市场在反弹之后整体估值仍不高，A股仍处于较好的布局期。</w:t>
              <w:br/>
              <w:t xml:space="preserve">    中长期看，A股市场的收益率还是来自国内自身的经济发展动力以及企业自身的盈利水平，重点关注受益经济修复和政策支持且对政策敏感性较高的领域。随着2022年业绩预告和快报披露，持续关注业绩超预期或环比明显改善的高景气领域。对于基本面面临拐点并逐渐触底回升的板块也加大关注力度。特别地，将保持对业绩景气度有望维持高位且前期调整相对充分的新能源板块、疫后复苏确定性较高的消费板块、政策方向明确的数字经济及高端制造板块、持续受益于政策支持预期向好的地产产业链的紧密跟踪。</w:t>
              <w:br/>
              <w:t xml:space="preserve">    组合操作上，当前位置维持相对均衡的结构为主，兼顾港股、稳增长、成长、制造及消费医药中的优质资产。持续在管理人库里优中选优，重点配置注重基本面跟踪、公司深度研究能力较强以及选股和交易重视安全边际的管理人。保持中枢权益仓位运作，同时结合估值情况与景气变化做部分板块的高低切换。</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121,186,461.00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98,730,100.00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86,623,393.53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79,285,600.00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78,559,200.00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兴银理财兴承恒享开放式1号净值型理财产品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