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207,052,694.25份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新盈私享2号（兴飞跃款）A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207,052,694.25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产品9D31002A自成立日以来，累计净值增长率为3.0810%，年化累计净值增长率为2.8909%。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206,958,712.13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206,958,712.13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年，杠杆115%。四季度产品打开进入下一个定开周期。新的一期成立之时仍然受到债券大幅下挫的影响，但目前随着债券价格的反弹，产品收益也逐步稳定。展望后市，目前市场仍然处于复苏的初期，预期打得比较满。利率大概率处于一个震荡状态，需要对复苏程度和资金是否会收敛保持关注。</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34,090,679.18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14,513,340.00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21中煤能源MTN001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11,124,531.00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20徐金开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10,072,060.00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21萍乡城投MTN001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6,873,493.76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