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兴业银行兴睿优选进取混合类净值型理财产品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兴业银行兴睿优选进取混合类净值型理财产品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9H910001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627,714,217.52份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沪深300指数收益率×70%+人民银行一年期定期存款利率×30%/--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产品9H910001自成立日以来，累计净值增长率为24.7390%，年化累计净值增长率为8.6741%。</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1.04739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1.24739</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657,463,360.45</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董国明先生，中国科学院研究生院理学硕士，2013年加入兴业银行，金融从业13年，曾在光大银行等机构任投资经理，现任资产管理事业部权益投资团队主管。</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回首2022年国内经济，整体处于周期低谷。GDP增速放缓，制造业和消费需求疲软。22年的经济低迷，主要由于我国面临疫情防控政策、地产行业疲软和美联储加息周期三个特殊状态叠加对经济体现出较强的压制作用。</w:t>
              <w:br/>
              <w:t xml:space="preserve">    展望2023年，压制我国经济增长的三大因素在近期都有显著的改善，首先疫情放开政策出现根本性转向，其次是地产政策无论是政策密度、力度还是协同性都显著上升，最后是美国加息节奏的放缓，人民币贬值压力缓和，国内货币宽松的掣肘减弱。在新的政策路径下，影响经济的三个主要因素迎来改善，奠定了23年我国经济复苏的主旋律。</w:t>
              <w:br/>
              <w:t xml:space="preserve">    权益投资的具体策略，首先是仓位规划上，坚持看好目前权益市场的投资价值，以仓位提升作为现阶段的主要投资策略趋势。就具体板块而言，会聚焦于以下几条逻辑主线：与疫情修复、人流物流恢复相关的行业；和经济总量相关，受益于经济修复的行业；国家安全或产业安全相关行业；新能源行业，虽然目前阶段性景气度有所回落，但是行业的向上空间仍有潜力；具有正社会外部性的产业。上述主线中，医药行业和计算机行业将具备贯穿全年的投资机会。除此以外，也看好港股市场整体的全年投资机会，在国内经济复苏、美元指数趋弱、人民币贬值压力趋缓、地产支持政策加码、互联网平台监管正常化的改善环境下，看好港股市场的持续修复带来的投资机会。</w:t>
              <w:br/>
              <w:t xml:space="preserve">    总结而言，导致2022年经济低迷的各类因素都出现改善，2023年看好作为经济晴雨表的权益市场，提高仓位并积极把握几大主线中的行业配置机会。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中欧丰泓沪港深A（002685.OF）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31,865,913.02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融通健康产业C 009274.OF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29,543,220.64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招商3年封闭运作瑞利灵活配置混合型证券投资基金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21,029,147.01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海富通改革驱动(519133.OF)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20,965,122.61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华商新趋势优选（166301.OF）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18,621,585.02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易方达中证海外互联ETF 513050.SH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17,984,628.30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中庚价值先锋股票型证券投资基金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17,802,987.46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长城久富核心成长混合型证券投资基金(LOF)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17,543,444.12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创金合信数字经济主题C（011230.OF）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17,538,844.10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建信健康民生混合型证券投资基金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17,252,670.57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051010100100983717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兴睿优选进取混合类净值型理财产品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3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