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兴银理财睿利稳健十四个月定期开放2号增强型固收类理财产品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兴银理财睿利稳健十四个月定期开放2号增强型固收类理财产品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26,112,413.15份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26,112,413.15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产品9K91902A自成立日以来，累计净值增长率为0.5200%，年化累计净值增长率为2.0191%。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26,248,218.24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26,248,218.24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李源先生，经济学博士，FRM，7年资产管理行业从业经验。2016年加入兴业银行资产管理部，现任兴银理财权益投资部投资经理。</w:t>
              <w:b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国内经济表现较为疲软，外围地缘风险和美国加息节奏超预期冲击下，A股整体跌幅较大。行业表现上，煤炭和综合行业录得正收益，社会服务、交通运输、商贸零售、银行跌幅较小，国防军工、电力设备、计算机、传媒、建材、电子跌幅领先。</w:t>
              <w:br/>
              <w:br/>
              <w:t xml:space="preserve">    2022年市场总体呈现w型走势。2022年初市场担忧稳增长政策在地产信用坍塌情况下无法向过往对经济企稳产生积极效果，并伴随美联储加息次数超出预期，市场出现下跌，高估值个股跌幅较大。随后俄乌战争爆发，大宗价格跳涨，给海外和国内市场带来一定冲击，3月下旬国内疫情变化使得市场对供应链担忧持续发酵，市场风险偏好大幅下降，市场出现了较快的下跌，并在4月下旬出现年内第一个低点。4月26中央财经会议召开，提出基建的重要性，4月29中央政治局会议传递积极信号，市场情绪获得修复，随后市场开启一波快速的修复行情，新能源和汽车行业迅速反弹。进入7月，市场聚焦于经济基本面在二季度疫情冲击过后的的修复强度，但高频的经济基本面数据表现较为疲弱，同时2022年夏天大范围的极端高温天气对经济活动产生一定抑制作用，市场逐步对经济弱复苏形成共识，但在流动性较为宽松的环境下，市场结构分化较为显著，景气赛道中的小市值公司维持了一段时间强势，而与经济总量相关度较高的大盘价值表现疲弱。进入8月下旬，欧美对新能源产业的相关政策引发市场担忧，同时在美元指数较快速走高的背景下，人民币兑美元汇率短期承受一定压力，以上因素使得市场出现了全面的、较大幅度的下跌，这</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一过程持续到10月底。11月后防疫政策优化和地产支持政策加码后，市场呈现较为全面的反弹。</w:t>
              <w:br/>
              <w:br/>
              <w:t xml:space="preserve">    本产品11月中旬开始逐步提升权益仓位。当前市场对2023年的经济修复的预期变得乐观。从自上而下角度看，2023年消费、地产修复的确定性较高，出口则受海外衰退预期影响或表现较弱。“安全”在顶层政策框架中的重要性显著提升。我们权益配置的方向主要基于3条主线。第一，防疫优化后基本面复苏较为确定的食品饮料、医疗服务、交通运输、传媒等行业。第二，经济总量修复的高度虽然有一定不确定性，强周期的龙头个股由于潜在收益率空间较大，也是我们考虑的方向。第三，与安全主题相关的行业，主要集中在计算机、电子等行业。此外，中国特色估值体系也需要重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10,077,901.01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6,949,729.39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3,019,550.32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2,003,082.00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中国太保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顺丰控股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127,072.00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美的集团</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中控技术</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78,204.63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分众传媒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051010100101477648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兴银理财睿利稳健十四个月定期开放2号增强型固收类理财产品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