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兴银理财天天万利宝稳利恒盈7号R款净值型理财产品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3,623,619,409.45份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稳利恒盈7号R款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3,623,619,409.45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产品9N21227A自成立日以来，累计净值增长率为2.5170%，年化累计净值增长率为3.2463%。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3,714,820,060.06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3,714,820,060.06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528,874,665.00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300,804,900.00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210,562,590.00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Z浙-同业借款20220512004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199,959,951.50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170,205,870.00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88,793,532.72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051010100101287991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