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兴银理财天天万利宝稳利恒盈7号封闭式净值型理财产品第3期2022年第四季度报告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兴银理财天天万利宝稳利恒盈7号封闭式净值型理财产品第3期</w:t>
              <w:br/>
              <w:t xml:space="preserve">2022年第四季度报告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报告送出日期：2023年1月28日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兴银理财天天万利宝稳利恒盈7号封闭式净值型理财产品第3期2022年第四季度报告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兴银理财天天万利宝稳利恒盈7号封闭式净值型理财产品第3期2022年第四季度报告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兴银理财天天万利宝稳利恒盈7号封闭式净值型理财产品第3期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9N213030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Z7002021000077</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1,853,949,478.51份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5.00%--5.50%/--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2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稳利恒盈7号封闭式3期A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9N21303A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1,853,949,478.51</w:t>
                        </w:r>
                      </w:p>
                    </w:tc>
                  </w:tr>
                </w:tbl>
                <w:p>
                  <w:pPr>
                    <w:pStyle w:val="EMPTY_CELL_STYLE"/>
                  </w:pPr>
                </w:p>
              </w:tc>
            </w:tr>
          </w:tbl>
          <w:p>
            <w:pPr>
              <w:pStyle w:val="EMPTY_CELL_STYLE"/>
            </w:pPr>
          </w:p>
        </w:tc>
        <w:tc>
          <w:tcPr>
     </w:tcPr>
          <w:p>
            <w:pPr>
              <w:pStyle w:val="EMPTY_CELL_STYLE"/>
            </w:pPr>
          </w:p>
        </w:tc>
      </w:tr>
      <w:tr>
        <w:trPr>
          <w:trHeight w:hRule="exact" w:val="1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兴银理财天天万利宝稳利恒盈7号封闭式净值型理财产品第3期2022年第四季度报告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产品9N21303A自成立日以来，累计净值增长率为4.7120%，年化累计净值增长率为3.1328%。</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1.04712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1.04712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1,941,300,608.81</w:t>
                        </w:r>
                      </w:p>
                    </w:tc>
                  </w:tr>
                </w:tbl>
                <w:p>
                  <w:pPr>
                    <w:pStyle w:val="EMPTY_CELL_STYLE"/>
                  </w:pPr>
                </w:p>
              </w:tc>
            </w:tr>
          </w:tbl>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9N21303A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1.04712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1.04712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1,941,300,608.81</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施彦珏女士，货币金融学硕士，拥有11年固收领域投资交易经验。2019年加入兴银理财，担任投资经理，目前管理多个净值型理财产品。在固定收益类投资交易和资产管理方面有丰富的工作经验，债券策略研究、投资及风险管理能力较强，历史投资业绩优异。</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92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一、2022年四季度投资策略与运作回顾</w:t>
              <w:br/>
              <w:t xml:space="preserve">    2022年1-10月债市利率震荡下行。10年国债利率去年末的2.78%，下行至了10月末的2.64%，累计下行了14bp。利率上半年震荡为主，利率中枢在2.78%，信用则自3月以来持续下行，实现了信用利差的大幅压缩；11月以来，在地产政策不断出台叠加疫情政策放开的影响下，利率快速回升，11月单月10年国债上行22bp，而3年AA+城投上行了64bp，利差迅速走阔，且不断恶化；12月以来，市场进入第二轮负反馈，本轮负反馈的主要冲击来自12月打开的定开型产品的赎回，在利率和存单已经跌幅收窄的情况下，信用和二永仍保持较深的下跌幅度。截止2022年末，相比9月底，10年国债上行8bp，同业存单上行43bp，3年AAA中票上行50bp，3年AA+中票上行74bp。</w:t>
              <w:br/>
              <w:t xml:space="preserve">    产品运作方面，考虑到边际抬升的资金利率、疫情、地产政策的边际变化，四季度整体采取了防守的投资策略，10月后逐步做了减仓。在具体操作方面，主要从相对增配低波资产、减持债券资产等角度进行积极调仓，为组合平衡收益与流动性。</w:t>
              <w:br/>
              <w:t xml:space="preserve">二、2023一季度投资策略展望</w:t>
              <w:br/>
              <w:t xml:space="preserve">    后市展望：2022年至今，国内流动性保持宽松，债券跑赢除商品外的大部分大类资产，获得更加稳健回报。2023年国内是稳增长大年，政策发力明确，但受制于房住不炒、地方严控隐性债务等约束，并不像以往周期那么容易刺激经济回升，地产和城投平台不再像以往周期那样融资需求积极扩张，叠加疫情冲击，在经济下行压力仍大、债券票息配置价值凸显的背景下，债券利率不具备继续大幅上行风险，全年不具有熊市的基本面基础。从绝对收益和利差角度来看，目前各期限债券和前期相比已具有一定的投资价值，当市场情绪渐稳后，存在一定的超调配置机会。下阶段总体策略：防守策略为主，看好高等级信用债票息和杠杆策略，以及金融机构债的投资机会，在波动中提高组合静态收益，兼顾产品流动性。</w:t>
            </w:r>
          </w:p>
        </w:tc>
        <w:tc>
          <w:tcPr>
     </w:tcPr>
          <w:p>
            <w:pPr>
              <w:pStyle w:val="EMPTY_CELL_STYLE"/>
            </w:pPr>
          </w:p>
        </w:tc>
        <w:tc>
          <w:tcPr>
     </w:tcPr>
          <w:p>
            <w:pPr>
              <w:pStyle w:val="EMPTY_CELL_STYLE"/>
            </w:pPr>
          </w:p>
        </w:tc>
      </w:tr>
      <w:tr>
        <w:trPr>
          <w:trHeight w:hRule="exact" w:val="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兴银理财天天万利宝稳利恒盈7号封闭式净值型理财产品第3期2022年第四季度报告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52.70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14.30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30.49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30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22青岛海发02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350,930,650.00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18.08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22常德城建01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150,388,500.00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7.75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21陕有色MTN001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102,496,800.00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22株洲国投01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100,259,200.00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5.16</w:t>
                        </w:r>
                      </w:p>
                    </w:tc>
                  </w:tr>
                </w:tbl>
                <w:p>
                  <w:pPr>
                    <w:pStyle w:val="EMPTY_CELL_STYLE"/>
                  </w:pPr>
                </w:p>
              </w:tc>
            </w:tr>
          </w:tbl>
          <w:p>
            <w:pPr>
              <w:pStyle w:val="EMPTY_CELL_STYLE"/>
            </w:pPr>
          </w:p>
        </w:tc>
        <w:tc>
          <w:tcPr>
     </w:tcPr>
          <w:p>
            <w:pPr>
              <w:pStyle w:val="EMPTY_CELL_STYLE"/>
            </w:pPr>
          </w:p>
        </w:tc>
      </w:tr>
      <w:tr>
        <w:trPr>
          <w:trHeight w:hRule="exact" w:val="1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兴银理财天天万利宝稳利恒盈7号封闭式净值型理财产品第3期2022年第四季度报告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22东方债01BC</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99,274,300.00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21粤财投资MTN001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70,429,380.00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21晋焦煤MTN001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60,604,140.00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20长沙水业MTN001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50,721,900.00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21华福G1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50,206,850.00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20宜兴城投MTN001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50,067,400.00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2.58</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30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21陕有色MTN001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21粤财投资MTN001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22东方债01BC</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22镇江交通MTN001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051010100101221913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兴银理财天天万利宝稳利恒盈7号封闭式净值型理财产品第3期</w:t>
                        </w:r>
                      </w:p>
                    </w:tc>
                  </w:tr>
                </w:tbl>
                <w:p>
                  <w:pPr>
                    <w:pStyle w:val="EMPTY_CELL_STYLE"/>
                  </w:pPr>
                </w:p>
              </w:tc>
            </w:tr>
          </w:tbl>
          <w:p>
            <w:pPr>
              <w:pStyle w:val="EMPTY_CELL_STYLE"/>
            </w:pPr>
          </w:p>
        </w:tc>
        <w:tc>
          <w:tcPr>
     </w:tcPr>
          <w:p>
            <w:pPr>
              <w:pStyle w:val="EMPTY_CELL_STYLE"/>
            </w:pPr>
          </w:p>
        </w:tc>
      </w:tr>
      <w:tr>
        <w:trPr>
          <w:trHeight w:hRule="exact" w:val="1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兴银理财天天万利宝稳利恒盈7号封闭式净值型理财产品第3期2022年第四季度报告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top"/>
          </w:tcPr>
          <w:p>
            <w:pPr>
              <w:ind/>
              <w:jc w:val="right"/>
            </w:pPr>
            <w:r>
              <w:rPr>
                <w:rFonts w:ascii="宋体" w:hAnsi="宋体" w:eastAsia="宋体" w:cs="宋体"/>
                <w:color w:val="000000"/>
                <w:sz w:val="21"/>
              </w:rPr>
              <w:t xml:space="preserve">2023年1月28日</w:t>
            </w:r>
          </w:p>
        </w:tc>
        <w:tc>
          <w:tcPr>
     </w:tcPr>
          <w:p>
            <w:pPr>
              <w:pStyle w:val="EMPTY_CELL_STYLE"/>
            </w:pPr>
          </w:p>
        </w:tc>
      </w:tr>
      <w:tr>
        <w:trPr>
          <w:trHeight w:hRule="exact" w:val="13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sectPr>
      <w:pgSz w:w="11900" w:h="16840" w:orient="portrait"/>
      <w:pgMar w:top="600" w:right="60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