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兴银理财兴承恒享增盈两年定期开放1号固收类理财产品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兴银理财兴承恒享增盈两年定期开放1号固收类理财产品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9K777010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936,555,977.67份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兴承恒享增盈两年定开1号A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9K77701A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523,026,771.00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兴承恒享增盈两年定开1号B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9K77701B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134,890,000.00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兴承恒享增盈两年定开1号C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9K77701C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278,639,206.67</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兴银理财兴承恒享增盈两年定期开放1号固收类理财产品2022年第四季度报告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产品9K77701A自成立日以来，累计净值增长率为1.3980%，年化累计净值增长率为2.3733%。</w:t>
              <w:br/>
              <w:t xml:space="preserve">产品9K77701B自成立日以来，累计净值增长率为1.4650%，年化累计净值增长率为2.4871%。</w:t>
              <w:br/>
              <w:t xml:space="preserve">产品9K77701C自成立日以来，累计净值增长率为1.4490%，年化累计净值增长率为2.4599%。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949,880,250.20</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530,339,163.52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136,865,701.33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282,675,385.35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4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宏观层面只能说是魔幻的2022年，百年未有之大变局，从长周期角度，当前可能处于本轮60年康波周期的萧条期起点，10年周期维度，出现滞涨风险的可能性在提升，3年短周期的角度，处于库存周期的下行期中期，但是本轮库存周期较弱，类似于2012-2013年的周期转化。</w:t>
              <w:br/>
              <w:t xml:space="preserve">    从短周期角度，2022年的非线性变量着实较多，而市场按照其惯有的线性外推法形成市场的一致性预期，结果就是一再打脸。回顾来看，2022年压制经济的政策因素贯穿全年，债券的机会始终存在，但因为担心“稳增长”以及“政策的随时变脸”使得市场走得十分犹豫和纠结；权益方面，受“人事变革年”等政治生态因素的影响，风险偏好不高，且较差的经济基本面更是使得EPS的实际值以及预期值不断下降，市场在4月、10月两次触底指数低点。</w:t>
              <w:br/>
              <w:t xml:space="preserve">    展望2023年，整体而言明年的市场环境判断，相对确定的是经济大概率复苏，不确定的是复苏的节奏和高度，以及是否会引起通胀，具体的走向可能无法完全清晰地判断，但是我们可以根据具体情景提前规划，比如债券市</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兴银理财兴承恒享增盈两年定期开放1号固收类理财产品2022年第四季度报告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场，如果恢复到2019年，合理中枢可能在3.0%-3.3%，中枢为3.15%，如果恢复到2021年，中枢约在2.90%，我们假设市场位于两个情景之前，收益率在2.90%-3.15%，当前位置上行的概率存在，但是上行幅度可控；权益市场，消费、成长、价值周期均处于基本面及估值的相对底部，下行空间有限，风格上，伴随能源革命及中国产业升级的大背景，本轮权益的主线应该还是在科技、高端制造、新能源等成长行业中。</w:t>
              <w:br/>
              <w:t xml:space="preserve">二、组合策略。</w:t>
              <w:br/>
              <w:t xml:space="preserve">    兴承恒享1号采用高仓位债券资产，久期0.5-1.5年；权益仓位低于10%，结构中，整体配置较为均衡，成长板块，维持高景气赛道绿色产业（即储能、光伏、风电）、汽车智能化的配置比例，均配周期价值等低估值板块，增加了中小盘、农业、可选消费、医药等行业配置比例，提升组合均衡性。</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兴银理财兴承恒享增盈两年定期开放1号固收类理财产品2022年第四季度报告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22盐城海兴01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160,334,720.00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22江津华信02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125,265,125.00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22新中泰集团ZR003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93,193,905.00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22安吉两山02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71,144,556.00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景顺长城景泰益利 010477.OF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35,567,497.28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海租6优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32,775,960.00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22润置10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29,848,830.00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22鲁宏桥CP001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29,815,080.00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浦银安盛双债增强A 006466.OF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29,635,798.73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29,198,095.43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兴银理财兴承恒享增盈两年定期开放1号固收类理财产品2022年第四季度报告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051010100101414557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兴银理财兴承恒享增盈两年定期开放1号固收类理财产品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