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兴银理财万利宝聚利2022年第4期净值型理财产品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产品9K222040自成立日以来，累计净值增长率为4.5750%，年化累计净值增长率为5.5111%。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1.04575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153,252,873.17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本产品主要投资于固定收益类资产，以持有至到期策略为主。投资标的为青岛市即墨区城市开发投资有限公司2022年度第二期理财直接融资工具，用于偿还其他金融机构借款。</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兴银理财万利宝聚利2022年第4期净值型理财产品2022年第四季度报告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