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兴银理财万利宝聚利2022年第15期净值型理财产品2022年第四季度报告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兴银理财万利宝聚利2022年第15期净值型理财产品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兴银理财万利宝聚利2022年第15期净值型理财产品2022年第四季度报告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兴银理财万利宝聚利2022年第15期净值型理财产品2022年第四季度报告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兴银理财万利宝聚利2022年第15期净值型理财产品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9K222150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Z7002022A000015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产品9K222150自成立日以来，累计净值增长率为4.1150%，年化累计净值增长率为5.3262%。</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兴银理财万利宝聚利2022年第15期净值型理财产品2022年第四季度报告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1.01819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1.04115</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152,727,887.32</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政博先生，东北财经大学管理学学士，基金从业资格，金融从业9年。2016年加入兴业银行，历任招商银行西宁分行同业部产品经理、兴业银行西宁分行金融市场部产品经理、兴银理财项目投资部投资经理，专注于非标债权投资及资本市场投融资类业务。</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本产品主要投资于固定收益类资产，以持有至到期策略为主。投资标的为青岛市即墨区城市开发投资有限公司2022年度第三期理财直接融资工具，用于偿还其他金融机构借款。</w:t>
              <w:br/>
              <w:t xml:space="preserve">   截至2022年四季度，投资收益符合预期。   </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兴银理财万利宝聚利2022年第15期净值型理财产品2022年第四季度报告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22即墨城投03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150,387,000.00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98.47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051010100101331448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兴银理财万利宝聚利2022年第15期净值型理财产品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