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兴银理财万利宝聚利2022年第19期净值型理财产品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兴银理财万利宝聚利2022年第19期净值型理财产品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195,260,000.00份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产品9K222190自成立日以来，累计净值增长率为3.9170%，年化累计净值增长率为5.9820%。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兴银理财万利宝聚利2022年第19期净值型理财产品2022年第四季度报告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1.01330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1.03917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197,857,190.34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中秋先生，重庆大学双学士，证券从业资格，金融从业10年。2013年加入兴业银行，历任兴业银行重庆分行投资银行部产品经理、兴业银行总行资产管理部项目投资部投资经理。2020年加入兴银理财任项目投资部项目投资经理，专注于政信类业务、资产支持证券、Reits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盐城市城市建设投资集团有限公司2022年度第五期理财直接融资工具”，该理财直接融资工具融资人为盐城市城市建设投资集团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兴银理财万利宝聚利2022年第19期净值型理财产品2022年第四季度报告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195,765,137.62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兴银理财万利宝聚利2022年第19期净值型理财产品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