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兴银理财万利宝聚利2022年第22期净值型理财产品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产品9K222220自成立日以来，累计净值增长率为4.1140%，年化累计净值增长率为6.7337%。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52,057,210.12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熊婷认购6700万元，本产品优先劣后比例不超过1：1。全部资金用于股票投资，投资顾问为深圳市多和美投资顾问有限公司。底层资产预警线0.75，平仓线0.7,若跌破平仓线劣后方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厦门信托-致远二号证券投资集合信托计划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051010100101384235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