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兴银理财万利宝聚利2022年第26期净值型理财产品2022年第四季度报告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兴银理财万利宝聚利2022年第26期净值型理财产品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兴银理财万利宝聚利2022年第26期净值型理财产品2022年第四季度报告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兴银理财万利宝聚利2022年第26期净值型理财产品2022年第四季度报告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兴银理财万利宝聚利2022年第26期净值型理财产品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9K222260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Z7002022A000172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204,740,000.00份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产品9K222260自成立日以来，累计净值增长率为3.6120%，年化累计净值增长率为5.9386%。</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兴银理财万利宝聚利2022年第26期净值型理财产品2022年第四季度报告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1.01072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1.03612</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206,934,329.52</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中秋先生，重庆大学双学士，证券从业资格，金融从业10年。2013年加入兴业银行，历任兴业银行重庆分行投资银行部产品经理、兴业银行总行资产管理部项目投资部投资经理。2020年加入兴银理财任项目投资部项目投资经理，专注于政信类业务、资产支持证券、Reits投资。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盐城市城市建设投资集团有限公司2022年度第七期理财直接融资工具”，该理财直接融资工具融资人为盐城市城市建设投资集团有限公司。</w:t>
              <w:br/>
              <w:t xml:space="preserve">   截至2022年12月末，融资人利息兑付正常。</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兴银理财万利宝聚利2022年第26期净值型理财产品2022年第四季度报告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22盐城城建07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205,173,639.32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99.15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051010100101409220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兴银理财万利宝聚利2022年第26期净值型理财产品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