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兴银理财万利宝聚利2022年第27期净值型理财产品2022年第四季度报告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兴银理财万利宝聚利2022年第27期净值型理财产品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兴银理财万利宝聚利2022年第27期净值型理财产品2022年第四季度报告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兴银理财万利宝聚利2022年第27期净值型理财产品2022年第四季度报告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兴银理财万利宝聚利2022年第27期净值型理财产品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9K222270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Z7002022A000173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产品9K222270自成立日以来，累计净值增长率为2.3440%，年化累计净值增长率为4.5509%。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兴银理财万利宝聚利2022年第27期净值型理财产品2022年第四季度报告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1.02344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1.02344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102,343,742.39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孟哲先生，英国斯特灵大学金融学硕士。金融从业10年。2019年加入兴业银行集团，此前曾就职于中信信托有限责任公司，任高级信托经理。2020年起任兴银理财项目投资部投资经理，主要从事非标债权投资。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本产品主要投资于非标准化债权类资产，以持有至到期策略为主。投资标的为厦门信托-鼓浪钱潮2201号贷款单一资金信托，该单一资金信托向诸暨市交通基础设施建设有限公司发放信托贷款。</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3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兴银理财万利宝聚利2022年第27期净值型理财产品2022年第四季度报告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3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厦门信托-鼓浪钱潮2201号贷款单一资金信托（诸暨市交通基础设施建设有限公司杭州分行）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051010100101409343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兴银理财万利宝聚利2022年第27期净值型理财产品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