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兴银理财万利宝聚利2022年第29期净值型理财产品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177,180,000.00份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产品9K222290自成立日以来，累计净值增长率为2.2570%，年化累计净值增长率为4.4530%。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1.02257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1.02257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181,178,074.54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孟哲先生，英国斯特灵大学金融学硕士。金融从业10年。2019年加入兴业银行集团，此前曾就职于中信信托有限责任公司，任高级信托经理。2020年起任兴银理财项目投资部投资经理，主要从事非标债权投资。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本产品主要投资于非标准化债权类资产，以持有至到期策略为主。投资标的为湖州经开投资发展集团有限公司2022年度第五期理财直接融资工具。</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22湖州经开05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177,221,814.48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