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兴银理财万利宝聚利2022年第30期净值型理财产品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兴银理财万利宝聚利2022年第30期净值型理财产品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9K222300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产品9K222300自成立日以来，累计净值增长率为3.0210%，年化累计净值增长率为5.8966%。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1.03021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100,545,734.17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盐城市国有资产投资集团有限公司2022年度第五期理财直接融资工具”，该理财直接融资工具融资人为盐城市国有资产投资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兴银理财万利宝聚利2022年第30期净值型理财产品2022年第四季度报告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兴银理财万利宝聚利2022年第30期净值型理财产品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