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兴银理财聚利封闭式第5期固收类理财产品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兴银理财聚利封闭式第5期固收类理财产品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9K222400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Z7002022A000241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282,000,000.00份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2.50%--15.00%/15.00%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产品9K222400自成立日以来，累计净值增长率为13.4260%，年化累计净值增长率为50.5205%。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1.13426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1.13426</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319,859,938.40</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许阳先生，美国德克萨斯农工大学经济学硕士，金融从业10年，2016年加入兴业银行，此前就职于中航国际租赁有限公司，任高级项目经理，现任兴银理财项目投资部投资经理，积累丰富的投资管理经验，专注于非标债权投资。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属于固定收益类理财产品，主要投资于杉杉集团有限公司2022年面向专业投资者非公开发行可交换公司债券（第三期、第四期）以及因持有的可交债转股所形成的股票。本产品闲置资金将投资于各类高流动性资产，包括但不限于银行存款、债券回购、大额可转让存单、货币基金等货币市场工具及其它银行间资金融通工具。</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兴银理财聚利封闭式第5期固收类理财产品2022年第四季度报告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22杉EB3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280,199,840.00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22杉EB4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45,008,391.00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051010100101475045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兴银理财聚利封闭式第5期固收类理财产品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5</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