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兴银理财兴承恒享聚利2022年第16期净值型理财产品2022年第四季度报告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兴银理财兴承恒享聚利2022年第16期净值型理财产品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兴银理财兴承恒享聚利2022年第16期净值型理财产品2022年第四季度报告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兴银理财兴承恒享聚利2022年第16期净值型理财产品2022年第四季度报告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兴银理财兴承恒享聚利2022年第16期净值型理财产品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9K223160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Z7002022A000219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产品9K223160自成立日以来，累计净值增长率为2.4320%，年化累计净值增长率为5.4459%。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兴银理财兴承恒享聚利2022年第16期净值型理财产品2022年第四季度报告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1.02432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1.02432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307,296,924.68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本产品主要投资于非标准化债权类资产，以持有至到期策略为主。投资标的为厦门信托-国兴壹号单一资金信托计划，信托计划用于向融资人厦门国贸控股集团有限公司发放信托贷款。</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兴银理财兴承恒享聚利2022年第16期净值型理财产品2022年第四季度报告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厦门信托-国兴壹号单一资金信托计划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300,615,900.00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051010100101444134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兴银理财兴承恒享聚利2022年第16期净值型理财产品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3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