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兴银理财悦动增强18个月2号定期开放固收类理财产品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兴银理财悦动增强18个月2号定期开放固收类理财产品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432,716,782.39份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兴银悦动增强18个月2号A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432,716,782.39</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产品9K22042A自成立日以来，累计净值增长率为3.0240%，年化累计净值增长率为4.2290%。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445,804,231.25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445,804,231.25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债市在一系列利空刺激之下高位大幅下跌出现了较明显的调整，体现债市对后期经济基本面的乐观预期。本报告期内，本组合积极调整债券持仓，利用利率衍生品对冲久期风险，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22先行控股05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80,018,800.00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22浙金汇五金ZR001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80,017,760.00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22浙杭州金投ZR006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55,008,305.00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30,451,740.00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19,851,860.00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18,371,580.00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15,110,100.00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20西汇投资MTN001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11,463,790.07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20赣租01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051010100101374266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兴银理财悦动增强18个月2号定期开放固收类理财产品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